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59" w:rsidRDefault="009F6159" w:rsidP="009F6159">
      <w:pPr>
        <w:spacing w:before="240" w:after="360" w:line="240" w:lineRule="auto"/>
        <w:rPr>
          <w:rFonts w:ascii="Calibri" w:eastAsia="Calibri" w:hAnsi="Calibri" w:cs="Calibri"/>
          <w:sz w:val="24"/>
        </w:rPr>
      </w:pPr>
      <w:bookmarkStart w:id="0" w:name="_GoBack"/>
      <w:bookmarkEnd w:id="0"/>
      <w:r>
        <w:rPr>
          <w:rFonts w:ascii="Calibri" w:eastAsia="Calibri" w:hAnsi="Calibri" w:cs="Calibri"/>
          <w:b/>
          <w:sz w:val="24"/>
        </w:rPr>
        <w:t>Parecer contábil N. º 006/2022</w:t>
      </w:r>
      <w:r>
        <w:rPr>
          <w:rFonts w:ascii="Calibri" w:eastAsia="Calibri" w:hAnsi="Calibri" w:cs="Calibri"/>
          <w:sz w:val="24"/>
        </w:rPr>
        <w:tab/>
      </w:r>
    </w:p>
    <w:p w:rsidR="001809C9" w:rsidRDefault="001809C9" w:rsidP="009F6159">
      <w:pPr>
        <w:spacing w:before="240" w:after="360" w:line="240" w:lineRule="auto"/>
        <w:rPr>
          <w:rFonts w:ascii="Calibri" w:eastAsia="Calibri" w:hAnsi="Calibri" w:cs="Calibri"/>
          <w:sz w:val="24"/>
        </w:rPr>
      </w:pPr>
    </w:p>
    <w:p w:rsidR="009F6159" w:rsidRDefault="009F6159" w:rsidP="009F6159">
      <w:pPr>
        <w:spacing w:after="0" w:line="240" w:lineRule="auto"/>
        <w:rPr>
          <w:rFonts w:ascii="Calibri" w:eastAsia="Calibri" w:hAnsi="Calibri" w:cs="Calibri"/>
          <w:i/>
          <w:sz w:val="24"/>
        </w:rPr>
      </w:pPr>
      <w:r>
        <w:rPr>
          <w:rFonts w:ascii="Calibri" w:eastAsia="Calibri" w:hAnsi="Calibri" w:cs="Calibri"/>
          <w:i/>
          <w:sz w:val="24"/>
        </w:rPr>
        <w:t>Aos membros da</w:t>
      </w:r>
    </w:p>
    <w:p w:rsidR="009F6159" w:rsidRDefault="009F6159" w:rsidP="009F6159">
      <w:pPr>
        <w:spacing w:after="0" w:line="240" w:lineRule="auto"/>
        <w:rPr>
          <w:rFonts w:ascii="Calibri" w:eastAsia="Calibri" w:hAnsi="Calibri" w:cs="Calibri"/>
          <w:i/>
          <w:sz w:val="24"/>
        </w:rPr>
      </w:pPr>
      <w:r>
        <w:rPr>
          <w:rFonts w:ascii="Calibri" w:eastAsia="Calibri" w:hAnsi="Calibri" w:cs="Calibri"/>
          <w:i/>
          <w:sz w:val="24"/>
        </w:rPr>
        <w:t xml:space="preserve">Comissão de Finanças, Orçamento e Tomadas de </w:t>
      </w:r>
      <w:proofErr w:type="gramStart"/>
      <w:r>
        <w:rPr>
          <w:rFonts w:ascii="Calibri" w:eastAsia="Calibri" w:hAnsi="Calibri" w:cs="Calibri"/>
          <w:i/>
          <w:sz w:val="24"/>
        </w:rPr>
        <w:t>Contas</w:t>
      </w:r>
      <w:proofErr w:type="gramEnd"/>
    </w:p>
    <w:p w:rsidR="009F6159" w:rsidRDefault="009F6159" w:rsidP="009F6159">
      <w:pPr>
        <w:spacing w:after="0" w:line="240" w:lineRule="auto"/>
        <w:rPr>
          <w:rFonts w:ascii="Calibri" w:eastAsia="Calibri" w:hAnsi="Calibri" w:cs="Calibri"/>
          <w:sz w:val="24"/>
        </w:rPr>
      </w:pPr>
    </w:p>
    <w:p w:rsidR="009F6159" w:rsidRDefault="009F6159" w:rsidP="009F6159">
      <w:pPr>
        <w:spacing w:after="0" w:line="360" w:lineRule="auto"/>
        <w:jc w:val="both"/>
        <w:rPr>
          <w:rFonts w:ascii="Calibri" w:eastAsia="Calibri" w:hAnsi="Calibri" w:cs="Calibri"/>
          <w:b/>
          <w:sz w:val="24"/>
        </w:rPr>
      </w:pPr>
      <w:r>
        <w:rPr>
          <w:rFonts w:ascii="Calibri" w:eastAsia="Calibri" w:hAnsi="Calibri" w:cs="Calibri"/>
          <w:b/>
          <w:sz w:val="24"/>
        </w:rPr>
        <w:t xml:space="preserve">Assunto: Parecer Contábil ao Projeto de Lei 24/2022, relativo </w:t>
      </w:r>
      <w:proofErr w:type="gramStart"/>
      <w:r>
        <w:rPr>
          <w:rFonts w:ascii="Calibri" w:eastAsia="Calibri" w:hAnsi="Calibri" w:cs="Calibri"/>
          <w:b/>
          <w:sz w:val="24"/>
        </w:rPr>
        <w:t>a</w:t>
      </w:r>
      <w:proofErr w:type="gramEnd"/>
      <w:r>
        <w:rPr>
          <w:rFonts w:ascii="Calibri" w:eastAsia="Calibri" w:hAnsi="Calibri" w:cs="Calibri"/>
          <w:b/>
          <w:sz w:val="24"/>
        </w:rPr>
        <w:t xml:space="preserve"> abertura de créditos adicionais suplementares com os recursos do superávit financeiro apurado no Balanço Patrimonial no exercício anterior.</w:t>
      </w:r>
    </w:p>
    <w:p w:rsidR="001809C9" w:rsidRDefault="001809C9" w:rsidP="009F6159">
      <w:pPr>
        <w:spacing w:after="0" w:line="360" w:lineRule="auto"/>
        <w:jc w:val="both"/>
        <w:rPr>
          <w:rFonts w:ascii="Calibri" w:eastAsia="Calibri" w:hAnsi="Calibri" w:cs="Calibri"/>
          <w:b/>
          <w:sz w:val="24"/>
        </w:rPr>
      </w:pPr>
    </w:p>
    <w:p w:rsidR="009F6159" w:rsidRDefault="009F6159" w:rsidP="009F6159">
      <w:pPr>
        <w:spacing w:after="0" w:line="276" w:lineRule="auto"/>
        <w:ind w:firstLine="1276"/>
        <w:jc w:val="both"/>
        <w:rPr>
          <w:rFonts w:ascii="Calibri" w:eastAsia="Calibri" w:hAnsi="Calibri" w:cs="Calibri"/>
          <w:sz w:val="24"/>
        </w:rPr>
      </w:pP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 xml:space="preserve">Trata-se de consulta formulada pela Comissão de Finanças, Orçamento e Tomadas de Contas da Câmara Municipal de Bom Jardim de Minas, em relação ao Projeto de Lei 24/2022, que dispõe sobre a abertura de créditos adicionais suplementares com os recursos do superávit financeiro apurado no Balanço Patrimonial no exercício anterior. </w:t>
      </w: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 xml:space="preserve">É importante ressaltar que o presente parecer contábil possui como escopo a apresentação de aspectos </w:t>
      </w:r>
      <w:proofErr w:type="gramStart"/>
      <w:r>
        <w:rPr>
          <w:rFonts w:ascii="Calibri" w:eastAsia="Calibri" w:hAnsi="Calibri" w:cs="Calibri"/>
          <w:sz w:val="24"/>
        </w:rPr>
        <w:t>técnicos-contábeis</w:t>
      </w:r>
      <w:proofErr w:type="gramEnd"/>
      <w:r>
        <w:rPr>
          <w:rFonts w:ascii="Calibri" w:eastAsia="Calibri" w:hAnsi="Calibri" w:cs="Calibri"/>
          <w:sz w:val="24"/>
        </w:rPr>
        <w:t xml:space="preserve"> e dos pressupostos formais inerentes ao ato, </w:t>
      </w:r>
      <w:proofErr w:type="gramStart"/>
      <w:r>
        <w:rPr>
          <w:rFonts w:ascii="Calibri" w:eastAsia="Calibri" w:hAnsi="Calibri" w:cs="Calibri"/>
          <w:sz w:val="24"/>
        </w:rPr>
        <w:t>não</w:t>
      </w:r>
      <w:proofErr w:type="gramEnd"/>
      <w:r>
        <w:rPr>
          <w:rFonts w:ascii="Calibri" w:eastAsia="Calibri" w:hAnsi="Calibri" w:cs="Calibri"/>
          <w:sz w:val="24"/>
        </w:rPr>
        <w:t xml:space="preserve"> possui força vinculante, ficando a cargo dos Nobres Vereadores, a atenta análise dos dados para emissão do parecer da comissão e votação do projeto.</w:t>
      </w: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 xml:space="preserve">A análise constante </w:t>
      </w:r>
      <w:proofErr w:type="gramStart"/>
      <w:r>
        <w:rPr>
          <w:rFonts w:ascii="Calibri" w:eastAsia="Calibri" w:hAnsi="Calibri" w:cs="Calibri"/>
          <w:sz w:val="24"/>
        </w:rPr>
        <w:t>deste parecer</w:t>
      </w:r>
      <w:proofErr w:type="gramEnd"/>
      <w:r>
        <w:rPr>
          <w:rFonts w:ascii="Calibri" w:eastAsia="Calibri" w:hAnsi="Calibri" w:cs="Calibri"/>
          <w:sz w:val="24"/>
        </w:rPr>
        <w:t xml:space="preserve"> contábil toma por base os documentos instruídos nos autos, haja vista a presunção de veracidade e legitimidade das informações e documentos apresentados pelo órgão consulente. </w:t>
      </w: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 xml:space="preserve">Conforme relatado, o Projeto de Lei ora analisado visa </w:t>
      </w:r>
      <w:proofErr w:type="gramStart"/>
      <w:r>
        <w:rPr>
          <w:rFonts w:ascii="Calibri" w:eastAsia="Calibri" w:hAnsi="Calibri" w:cs="Calibri"/>
          <w:sz w:val="24"/>
        </w:rPr>
        <w:t>a</w:t>
      </w:r>
      <w:proofErr w:type="gramEnd"/>
      <w:r>
        <w:rPr>
          <w:rFonts w:ascii="Calibri" w:eastAsia="Calibri" w:hAnsi="Calibri" w:cs="Calibri"/>
          <w:sz w:val="24"/>
        </w:rPr>
        <w:t xml:space="preserve"> abertura de crédito adicional suplementar, tendo em vista a constatação de superávit financeiro apurado em balanço patrimonial do exercício anterior.</w:t>
      </w: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 xml:space="preserve">Os créditos suplementares são modalidades de créditos adicionais destinados a reforçar a dotação orçamentária para despesas insuficientemente dotadas na Lei Orçamentária, esta modalidade de crédito adicional depende de prévia autorização legislativa, por força do princípio da legalidade das despesas previsto no art. 167, inciso V da CF, </w:t>
      </w:r>
      <w:r>
        <w:rPr>
          <w:rFonts w:ascii="Calibri" w:eastAsia="Calibri" w:hAnsi="Calibri" w:cs="Calibri"/>
          <w:i/>
          <w:sz w:val="24"/>
        </w:rPr>
        <w:t xml:space="preserve">in </w:t>
      </w:r>
      <w:proofErr w:type="spellStart"/>
      <w:r>
        <w:rPr>
          <w:rFonts w:ascii="Calibri" w:eastAsia="Calibri" w:hAnsi="Calibri" w:cs="Calibri"/>
          <w:i/>
          <w:sz w:val="24"/>
        </w:rPr>
        <w:t>verbis</w:t>
      </w:r>
      <w:proofErr w:type="spellEnd"/>
      <w:r>
        <w:rPr>
          <w:rFonts w:ascii="Calibri" w:eastAsia="Calibri" w:hAnsi="Calibri" w:cs="Calibri"/>
          <w:sz w:val="24"/>
        </w:rPr>
        <w:t xml:space="preserve">: </w:t>
      </w:r>
    </w:p>
    <w:p w:rsidR="001809C9" w:rsidRDefault="001809C9" w:rsidP="009F6159">
      <w:pPr>
        <w:spacing w:after="0" w:line="360" w:lineRule="auto"/>
        <w:ind w:left="3402"/>
        <w:jc w:val="both"/>
        <w:rPr>
          <w:rFonts w:ascii="Calibri" w:eastAsia="Calibri" w:hAnsi="Calibri" w:cs="Calibri"/>
          <w:i/>
          <w:sz w:val="24"/>
        </w:rPr>
      </w:pPr>
    </w:p>
    <w:p w:rsidR="001809C9" w:rsidRDefault="001809C9" w:rsidP="009F6159">
      <w:pPr>
        <w:spacing w:after="0" w:line="360" w:lineRule="auto"/>
        <w:ind w:left="3402"/>
        <w:jc w:val="both"/>
        <w:rPr>
          <w:rFonts w:ascii="Calibri" w:eastAsia="Calibri" w:hAnsi="Calibri" w:cs="Calibri"/>
          <w:i/>
          <w:sz w:val="24"/>
        </w:rPr>
      </w:pP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 xml:space="preserve">Art. 167. São vedados: </w:t>
      </w:r>
    </w:p>
    <w:p w:rsidR="001809C9" w:rsidRDefault="001809C9" w:rsidP="001809C9">
      <w:pPr>
        <w:spacing w:after="0" w:line="240" w:lineRule="auto"/>
        <w:ind w:left="3402"/>
        <w:jc w:val="both"/>
        <w:rPr>
          <w:rFonts w:ascii="Calibri" w:eastAsia="Calibri" w:hAnsi="Calibri" w:cs="Calibri"/>
          <w:i/>
          <w:sz w:val="24"/>
        </w:rPr>
      </w:pPr>
    </w:p>
    <w:p w:rsidR="009F6159" w:rsidRDefault="009F6159" w:rsidP="009F6159">
      <w:pPr>
        <w:spacing w:after="0" w:line="360" w:lineRule="auto"/>
        <w:ind w:left="3402"/>
        <w:jc w:val="both"/>
        <w:rPr>
          <w:rFonts w:ascii="Calibri" w:eastAsia="Calibri" w:hAnsi="Calibri" w:cs="Calibri"/>
          <w:i/>
        </w:rPr>
      </w:pPr>
      <w:r>
        <w:rPr>
          <w:rFonts w:ascii="Calibri" w:eastAsia="Calibri" w:hAnsi="Calibri" w:cs="Calibri"/>
          <w:i/>
          <w:sz w:val="24"/>
        </w:rPr>
        <w:t>V - a abertura de crédito suplementar ou especial sem prévia autorização legislativa e sem indicação dos recursos correspondentes.</w:t>
      </w:r>
      <w:r>
        <w:rPr>
          <w:rFonts w:ascii="Calibri" w:eastAsia="Calibri" w:hAnsi="Calibri" w:cs="Calibri"/>
          <w:i/>
        </w:rPr>
        <w:t xml:space="preserve"> </w:t>
      </w:r>
    </w:p>
    <w:p w:rsidR="001809C9" w:rsidRDefault="001809C9" w:rsidP="009F6159">
      <w:pPr>
        <w:spacing w:after="0" w:line="360" w:lineRule="auto"/>
        <w:ind w:left="3402"/>
        <w:jc w:val="both"/>
        <w:rPr>
          <w:rFonts w:ascii="Calibri" w:eastAsia="Calibri" w:hAnsi="Calibri" w:cs="Calibri"/>
          <w:i/>
        </w:rPr>
      </w:pP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 xml:space="preserve">Desta forma, para fins de abertura de crédito adicional por superávit financeiro, o valor foi comprovado através do Resumo das Fontes de Recurso anexo aos autos, apresentando o superávit referente ao exercício de 2021 por fonte de recurso. </w:t>
      </w: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É importante ressaltar, que o projeto não determina as dotações orçamentárias que serão atendidas, não tendo como iden</w:t>
      </w:r>
      <w:r w:rsidR="001809C9">
        <w:rPr>
          <w:rFonts w:ascii="Calibri" w:eastAsia="Calibri" w:hAnsi="Calibri" w:cs="Calibri"/>
          <w:sz w:val="24"/>
        </w:rPr>
        <w:t>tificar a destinação do recurso.</w:t>
      </w:r>
      <w:r>
        <w:rPr>
          <w:rFonts w:ascii="Calibri" w:eastAsia="Calibri" w:hAnsi="Calibri" w:cs="Calibri"/>
          <w:sz w:val="24"/>
        </w:rPr>
        <w:t xml:space="preserve"> </w:t>
      </w:r>
      <w:r w:rsidR="001809C9">
        <w:rPr>
          <w:rFonts w:ascii="Calibri" w:eastAsia="Calibri" w:hAnsi="Calibri" w:cs="Calibri"/>
          <w:sz w:val="24"/>
        </w:rPr>
        <w:t>I</w:t>
      </w:r>
      <w:r>
        <w:rPr>
          <w:rFonts w:ascii="Calibri" w:eastAsia="Calibri" w:hAnsi="Calibri" w:cs="Calibri"/>
          <w:sz w:val="24"/>
        </w:rPr>
        <w:t xml:space="preserve">nforma apenas que será respeitada a vinculação legal específica das fontes de recurso atendendo ao objeto de sua vinculação, ainda que em exercício diverso daquele em que ocorreu o ingresso. </w:t>
      </w:r>
    </w:p>
    <w:p w:rsidR="009D4444" w:rsidRDefault="00BF6CFD" w:rsidP="009D4444">
      <w:pPr>
        <w:spacing w:after="0" w:line="360" w:lineRule="auto"/>
        <w:ind w:firstLine="708"/>
        <w:jc w:val="both"/>
        <w:rPr>
          <w:rFonts w:ascii="Calibri" w:eastAsia="Calibri" w:hAnsi="Calibri" w:cs="Calibri"/>
          <w:sz w:val="24"/>
          <w:szCs w:val="24"/>
        </w:rPr>
      </w:pPr>
      <w:r>
        <w:rPr>
          <w:rFonts w:ascii="Calibri" w:eastAsia="Calibri" w:hAnsi="Calibri" w:cs="Calibri"/>
          <w:sz w:val="24"/>
          <w:szCs w:val="24"/>
        </w:rPr>
        <w:t>A maior parte dos projetos que envolvem abertura de crédito adicional</w:t>
      </w:r>
      <w:r w:rsidR="009D4444">
        <w:rPr>
          <w:rFonts w:ascii="Calibri" w:eastAsia="Calibri" w:hAnsi="Calibri" w:cs="Calibri"/>
          <w:sz w:val="24"/>
          <w:szCs w:val="24"/>
        </w:rPr>
        <w:t xml:space="preserve"> elenca</w:t>
      </w:r>
      <w:r>
        <w:rPr>
          <w:rFonts w:ascii="Calibri" w:eastAsia="Calibri" w:hAnsi="Calibri" w:cs="Calibri"/>
          <w:sz w:val="24"/>
          <w:szCs w:val="24"/>
        </w:rPr>
        <w:t>m</w:t>
      </w:r>
      <w:r w:rsidR="009D4444">
        <w:rPr>
          <w:rFonts w:ascii="Calibri" w:eastAsia="Calibri" w:hAnsi="Calibri" w:cs="Calibri"/>
          <w:sz w:val="24"/>
          <w:szCs w:val="24"/>
        </w:rPr>
        <w:t xml:space="preserve"> a</w:t>
      </w:r>
      <w:r>
        <w:rPr>
          <w:rFonts w:ascii="Calibri" w:eastAsia="Calibri" w:hAnsi="Calibri" w:cs="Calibri"/>
          <w:sz w:val="24"/>
          <w:szCs w:val="24"/>
        </w:rPr>
        <w:t>s</w:t>
      </w:r>
      <w:r w:rsidR="009D4444">
        <w:rPr>
          <w:rFonts w:ascii="Calibri" w:eastAsia="Calibri" w:hAnsi="Calibri" w:cs="Calibri"/>
          <w:sz w:val="24"/>
          <w:szCs w:val="24"/>
        </w:rPr>
        <w:t xml:space="preserve"> conta</w:t>
      </w:r>
      <w:r>
        <w:rPr>
          <w:rFonts w:ascii="Calibri" w:eastAsia="Calibri" w:hAnsi="Calibri" w:cs="Calibri"/>
          <w:sz w:val="24"/>
          <w:szCs w:val="24"/>
        </w:rPr>
        <w:t>s</w:t>
      </w:r>
      <w:r w:rsidR="009D4444">
        <w:rPr>
          <w:rFonts w:ascii="Calibri" w:eastAsia="Calibri" w:hAnsi="Calibri" w:cs="Calibri"/>
          <w:sz w:val="24"/>
          <w:szCs w:val="24"/>
        </w:rPr>
        <w:t xml:space="preserve"> orçamentári</w:t>
      </w:r>
      <w:r>
        <w:rPr>
          <w:rFonts w:ascii="Calibri" w:eastAsia="Calibri" w:hAnsi="Calibri" w:cs="Calibri"/>
          <w:sz w:val="24"/>
          <w:szCs w:val="24"/>
        </w:rPr>
        <w:t>as</w:t>
      </w:r>
      <w:r w:rsidR="009D4444">
        <w:rPr>
          <w:rFonts w:ascii="Calibri" w:eastAsia="Calibri" w:hAnsi="Calibri" w:cs="Calibri"/>
          <w:sz w:val="24"/>
          <w:szCs w:val="24"/>
        </w:rPr>
        <w:t xml:space="preserve"> que receber</w:t>
      </w:r>
      <w:r>
        <w:rPr>
          <w:rFonts w:ascii="Calibri" w:eastAsia="Calibri" w:hAnsi="Calibri" w:cs="Calibri"/>
          <w:sz w:val="24"/>
          <w:szCs w:val="24"/>
        </w:rPr>
        <w:t>ão</w:t>
      </w:r>
      <w:r w:rsidR="009D4444">
        <w:rPr>
          <w:rFonts w:ascii="Calibri" w:eastAsia="Calibri" w:hAnsi="Calibri" w:cs="Calibri"/>
          <w:sz w:val="24"/>
          <w:szCs w:val="24"/>
        </w:rPr>
        <w:t xml:space="preserve"> o recurso orçamentário, </w:t>
      </w:r>
      <w:r>
        <w:rPr>
          <w:rFonts w:ascii="Calibri" w:eastAsia="Calibri" w:hAnsi="Calibri" w:cs="Calibri"/>
          <w:sz w:val="24"/>
          <w:szCs w:val="24"/>
        </w:rPr>
        <w:t>além de informar a</w:t>
      </w:r>
      <w:r w:rsidR="009D4444">
        <w:rPr>
          <w:rFonts w:ascii="Calibri" w:eastAsia="Calibri" w:hAnsi="Calibri" w:cs="Calibri"/>
          <w:sz w:val="24"/>
          <w:szCs w:val="24"/>
        </w:rPr>
        <w:t xml:space="preserve"> fonte de recurso</w:t>
      </w:r>
      <w:r>
        <w:rPr>
          <w:rFonts w:ascii="Calibri" w:eastAsia="Calibri" w:hAnsi="Calibri" w:cs="Calibri"/>
          <w:sz w:val="24"/>
          <w:szCs w:val="24"/>
        </w:rPr>
        <w:t>,</w:t>
      </w:r>
      <w:r w:rsidR="009D4444">
        <w:rPr>
          <w:rFonts w:ascii="Calibri" w:eastAsia="Calibri" w:hAnsi="Calibri" w:cs="Calibri"/>
          <w:sz w:val="24"/>
          <w:szCs w:val="24"/>
        </w:rPr>
        <w:t xml:space="preserve"> </w:t>
      </w:r>
      <w:r>
        <w:rPr>
          <w:rFonts w:ascii="Calibri" w:eastAsia="Calibri" w:hAnsi="Calibri" w:cs="Calibri"/>
          <w:sz w:val="24"/>
          <w:szCs w:val="24"/>
        </w:rPr>
        <w:t>conforme o</w:t>
      </w:r>
      <w:r w:rsidR="009D4444">
        <w:rPr>
          <w:rFonts w:ascii="Calibri" w:eastAsia="Calibri" w:hAnsi="Calibri" w:cs="Calibri"/>
          <w:sz w:val="24"/>
          <w:szCs w:val="24"/>
        </w:rPr>
        <w:t xml:space="preserve"> Art. 46, da Lei Federal nº 4320/1964, </w:t>
      </w:r>
      <w:r w:rsidR="009D4444">
        <w:rPr>
          <w:rFonts w:ascii="Calibri" w:eastAsia="Calibri" w:hAnsi="Calibri" w:cs="Calibri"/>
          <w:i/>
          <w:sz w:val="24"/>
          <w:szCs w:val="24"/>
        </w:rPr>
        <w:t xml:space="preserve">in </w:t>
      </w:r>
      <w:proofErr w:type="spellStart"/>
      <w:r w:rsidR="009D4444">
        <w:rPr>
          <w:rFonts w:ascii="Calibri" w:eastAsia="Calibri" w:hAnsi="Calibri" w:cs="Calibri"/>
          <w:i/>
          <w:sz w:val="24"/>
          <w:szCs w:val="24"/>
        </w:rPr>
        <w:t>verbis</w:t>
      </w:r>
      <w:proofErr w:type="spellEnd"/>
      <w:r w:rsidR="009D4444">
        <w:rPr>
          <w:rFonts w:ascii="Calibri" w:eastAsia="Calibri" w:hAnsi="Calibri" w:cs="Calibri"/>
          <w:sz w:val="24"/>
          <w:szCs w:val="24"/>
        </w:rPr>
        <w:t>:</w:t>
      </w:r>
    </w:p>
    <w:p w:rsidR="009D4444" w:rsidRDefault="009D4444" w:rsidP="009D4444">
      <w:pPr>
        <w:spacing w:after="0" w:line="360" w:lineRule="auto"/>
        <w:ind w:firstLine="708"/>
        <w:jc w:val="both"/>
        <w:rPr>
          <w:rFonts w:ascii="Calibri" w:eastAsia="Calibri" w:hAnsi="Calibri" w:cs="Calibri"/>
          <w:sz w:val="24"/>
          <w:szCs w:val="24"/>
        </w:rPr>
      </w:pPr>
    </w:p>
    <w:p w:rsidR="009D4444" w:rsidRDefault="009D4444" w:rsidP="009D4444">
      <w:pPr>
        <w:spacing w:after="0" w:line="360" w:lineRule="auto"/>
        <w:ind w:left="3402"/>
        <w:jc w:val="both"/>
        <w:rPr>
          <w:rFonts w:ascii="Calibri" w:eastAsia="Calibri" w:hAnsi="Calibri" w:cs="Calibri"/>
          <w:i/>
          <w:sz w:val="24"/>
          <w:szCs w:val="24"/>
        </w:rPr>
      </w:pPr>
      <w:r>
        <w:rPr>
          <w:rFonts w:ascii="Calibri" w:eastAsia="Calibri" w:hAnsi="Calibri" w:cs="Calibri"/>
          <w:i/>
          <w:sz w:val="24"/>
          <w:szCs w:val="24"/>
        </w:rPr>
        <w:t>Art. 46. O ato que abrir crédito adicional indicará a importância, a espécie do mesmo e a classificação da despesa, até onde for possível.</w:t>
      </w:r>
    </w:p>
    <w:p w:rsidR="009D4444" w:rsidRDefault="009D4444" w:rsidP="009F6159">
      <w:pPr>
        <w:spacing w:after="0" w:line="360" w:lineRule="auto"/>
        <w:ind w:firstLine="708"/>
        <w:jc w:val="both"/>
        <w:rPr>
          <w:rFonts w:ascii="Calibri" w:eastAsia="Calibri" w:hAnsi="Calibri" w:cs="Calibri"/>
          <w:sz w:val="24"/>
        </w:rPr>
      </w:pPr>
    </w:p>
    <w:p w:rsidR="009F6159" w:rsidRDefault="00BF6CFD" w:rsidP="009F6159">
      <w:pPr>
        <w:spacing w:after="0" w:line="360" w:lineRule="auto"/>
        <w:ind w:firstLine="708"/>
        <w:jc w:val="both"/>
        <w:rPr>
          <w:rFonts w:ascii="Calibri" w:eastAsia="Calibri" w:hAnsi="Calibri" w:cs="Calibri"/>
          <w:sz w:val="24"/>
        </w:rPr>
      </w:pPr>
      <w:r>
        <w:rPr>
          <w:rFonts w:ascii="Calibri" w:eastAsia="Calibri" w:hAnsi="Calibri" w:cs="Calibri"/>
          <w:sz w:val="24"/>
        </w:rPr>
        <w:t>Seguindo a análise</w:t>
      </w:r>
      <w:r w:rsidR="009F6159">
        <w:rPr>
          <w:rFonts w:ascii="Calibri" w:eastAsia="Calibri" w:hAnsi="Calibri" w:cs="Calibri"/>
          <w:sz w:val="24"/>
        </w:rPr>
        <w:t>, devemo</w:t>
      </w:r>
      <w:r w:rsidR="001809C9">
        <w:rPr>
          <w:rFonts w:ascii="Calibri" w:eastAsia="Calibri" w:hAnsi="Calibri" w:cs="Calibri"/>
          <w:sz w:val="24"/>
        </w:rPr>
        <w:t>s considerar o que prevê a Lei n</w:t>
      </w:r>
      <w:r w:rsidR="009F6159">
        <w:rPr>
          <w:rFonts w:ascii="Calibri" w:eastAsia="Calibri" w:hAnsi="Calibri" w:cs="Calibri"/>
          <w:sz w:val="24"/>
        </w:rPr>
        <w:t xml:space="preserve">º 4.320 de 1964: </w:t>
      </w:r>
    </w:p>
    <w:p w:rsidR="00BF6CFD" w:rsidRDefault="00BF6CFD" w:rsidP="009F6159">
      <w:pPr>
        <w:spacing w:after="0" w:line="360" w:lineRule="auto"/>
        <w:ind w:firstLine="708"/>
        <w:jc w:val="both"/>
        <w:rPr>
          <w:rFonts w:ascii="Calibri" w:eastAsia="Calibri" w:hAnsi="Calibri" w:cs="Calibri"/>
          <w:sz w:val="24"/>
        </w:rPr>
      </w:pPr>
    </w:p>
    <w:p w:rsidR="009F6159" w:rsidRDefault="009F6159" w:rsidP="009F6159">
      <w:pPr>
        <w:spacing w:after="0" w:line="240" w:lineRule="auto"/>
        <w:ind w:firstLine="708"/>
        <w:jc w:val="both"/>
        <w:rPr>
          <w:rFonts w:ascii="Calibri" w:eastAsia="Calibri" w:hAnsi="Calibri" w:cs="Calibri"/>
          <w:sz w:val="24"/>
        </w:rPr>
      </w:pP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Art. 40. São créditos adicionais, as autorizações de despesa não computadas ou insuficientemente dotadas na Lei de Orçamento.</w:t>
      </w:r>
    </w:p>
    <w:p w:rsidR="00BF6CFD" w:rsidRDefault="00BF6CFD" w:rsidP="009F6159">
      <w:pPr>
        <w:spacing w:after="0" w:line="360" w:lineRule="auto"/>
        <w:ind w:left="3402"/>
        <w:jc w:val="both"/>
        <w:rPr>
          <w:rFonts w:ascii="Calibri" w:eastAsia="Calibri" w:hAnsi="Calibri" w:cs="Calibri"/>
          <w:i/>
          <w:sz w:val="24"/>
        </w:rPr>
      </w:pPr>
    </w:p>
    <w:p w:rsidR="009F6159" w:rsidRDefault="009F6159" w:rsidP="009F6159">
      <w:pPr>
        <w:spacing w:after="0" w:line="240" w:lineRule="auto"/>
        <w:ind w:left="3402"/>
        <w:jc w:val="both"/>
        <w:rPr>
          <w:rFonts w:ascii="Calibri" w:eastAsia="Calibri" w:hAnsi="Calibri" w:cs="Calibri"/>
          <w:i/>
          <w:sz w:val="24"/>
        </w:rPr>
      </w:pPr>
    </w:p>
    <w:p w:rsidR="00360069" w:rsidRDefault="00360069" w:rsidP="009F6159">
      <w:pPr>
        <w:spacing w:after="0" w:line="360" w:lineRule="auto"/>
        <w:ind w:left="3402"/>
        <w:jc w:val="both"/>
        <w:rPr>
          <w:rFonts w:ascii="Calibri" w:eastAsia="Calibri" w:hAnsi="Calibri" w:cs="Calibri"/>
          <w:i/>
          <w:sz w:val="24"/>
        </w:rPr>
      </w:pP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 xml:space="preserve">Art. 41. Os créditos adicionais classificam-se em: </w:t>
      </w: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 xml:space="preserve">I - suplementares, os destinados a reforço de dotação orçamentária; (...). </w:t>
      </w:r>
    </w:p>
    <w:p w:rsidR="009F6159" w:rsidRDefault="009F6159" w:rsidP="001809C9">
      <w:pPr>
        <w:spacing w:after="0" w:line="240" w:lineRule="auto"/>
        <w:ind w:left="3402"/>
        <w:jc w:val="both"/>
        <w:rPr>
          <w:rFonts w:ascii="Calibri" w:eastAsia="Calibri" w:hAnsi="Calibri" w:cs="Calibri"/>
          <w:i/>
          <w:sz w:val="24"/>
        </w:rPr>
      </w:pP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Art. 42. Os créditos suplementares e especiais serão autorizados por lei e abertos por decreto executivo.</w:t>
      </w:r>
    </w:p>
    <w:p w:rsidR="009F6159" w:rsidRDefault="009F6159" w:rsidP="009F6159">
      <w:pPr>
        <w:spacing w:after="0" w:line="240" w:lineRule="auto"/>
        <w:ind w:left="3402"/>
        <w:jc w:val="both"/>
        <w:rPr>
          <w:rFonts w:ascii="Calibri" w:eastAsia="Calibri" w:hAnsi="Calibri" w:cs="Calibri"/>
          <w:i/>
          <w:sz w:val="24"/>
        </w:rPr>
      </w:pP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 xml:space="preserve">Art. 43. A abertura dos créditos suplementares e especiais depende da existência de recursos disponíveis para ocorrer </w:t>
      </w:r>
      <w:proofErr w:type="gramStart"/>
      <w:r>
        <w:rPr>
          <w:rFonts w:ascii="Calibri" w:eastAsia="Calibri" w:hAnsi="Calibri" w:cs="Calibri"/>
          <w:i/>
          <w:sz w:val="24"/>
        </w:rPr>
        <w:t>a</w:t>
      </w:r>
      <w:proofErr w:type="gramEnd"/>
      <w:r>
        <w:rPr>
          <w:rFonts w:ascii="Calibri" w:eastAsia="Calibri" w:hAnsi="Calibri" w:cs="Calibri"/>
          <w:i/>
          <w:sz w:val="24"/>
        </w:rPr>
        <w:t xml:space="preserve"> despesa e será precedida de exposição justificativa. </w:t>
      </w: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 xml:space="preserve">§ 1° Consideram-se recursos para o fim deste artigo, desde que não </w:t>
      </w:r>
      <w:proofErr w:type="gramStart"/>
      <w:r>
        <w:rPr>
          <w:rFonts w:ascii="Calibri" w:eastAsia="Calibri" w:hAnsi="Calibri" w:cs="Calibri"/>
          <w:i/>
          <w:sz w:val="24"/>
        </w:rPr>
        <w:t>comprometidos :</w:t>
      </w:r>
      <w:proofErr w:type="gramEnd"/>
      <w:r>
        <w:rPr>
          <w:rFonts w:ascii="Calibri" w:eastAsia="Calibri" w:hAnsi="Calibri" w:cs="Calibri"/>
          <w:i/>
          <w:sz w:val="24"/>
        </w:rPr>
        <w:t xml:space="preserve"> (...) </w:t>
      </w: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I - o superávit financeiro apurado em balanço patrimonial do exercício anterior; (...</w:t>
      </w:r>
      <w:proofErr w:type="gramStart"/>
      <w:r>
        <w:rPr>
          <w:rFonts w:ascii="Calibri" w:eastAsia="Calibri" w:hAnsi="Calibri" w:cs="Calibri"/>
          <w:i/>
          <w:sz w:val="24"/>
        </w:rPr>
        <w:t>)</w:t>
      </w:r>
      <w:proofErr w:type="gramEnd"/>
      <w:r>
        <w:rPr>
          <w:rFonts w:ascii="Calibri" w:eastAsia="Calibri" w:hAnsi="Calibri" w:cs="Calibri"/>
          <w:i/>
          <w:sz w:val="24"/>
        </w:rPr>
        <w:t xml:space="preserve"> </w:t>
      </w:r>
    </w:p>
    <w:p w:rsidR="009F6159" w:rsidRDefault="009F6159" w:rsidP="009F6159">
      <w:pPr>
        <w:spacing w:after="0" w:line="360" w:lineRule="auto"/>
        <w:ind w:left="3402"/>
        <w:jc w:val="both"/>
        <w:rPr>
          <w:rFonts w:ascii="Calibri" w:eastAsia="Calibri" w:hAnsi="Calibri" w:cs="Calibri"/>
          <w:i/>
          <w:sz w:val="24"/>
        </w:rPr>
      </w:pPr>
      <w:r>
        <w:rPr>
          <w:rFonts w:ascii="Calibri" w:eastAsia="Calibri" w:hAnsi="Calibri" w:cs="Calibri"/>
          <w:i/>
          <w:sz w:val="24"/>
        </w:rPr>
        <w:t xml:space="preserve">§ 2° Entende-se por superávit financeiro a diferença positiva entre o ativo financeiro e o passivo financeiro, conjugando-se, ainda, os saldos dos créditos </w:t>
      </w:r>
      <w:proofErr w:type="gramStart"/>
      <w:r>
        <w:rPr>
          <w:rFonts w:ascii="Calibri" w:eastAsia="Calibri" w:hAnsi="Calibri" w:cs="Calibri"/>
          <w:i/>
          <w:sz w:val="24"/>
        </w:rPr>
        <w:t>adicionais</w:t>
      </w:r>
      <w:proofErr w:type="gramEnd"/>
    </w:p>
    <w:p w:rsidR="009F6159" w:rsidRDefault="009F6159" w:rsidP="009F6159">
      <w:pPr>
        <w:spacing w:after="0" w:line="360" w:lineRule="auto"/>
        <w:ind w:firstLine="708"/>
        <w:jc w:val="both"/>
        <w:rPr>
          <w:rFonts w:ascii="Calibri" w:eastAsia="Calibri" w:hAnsi="Calibri" w:cs="Calibri"/>
          <w:i/>
          <w:sz w:val="24"/>
        </w:rPr>
      </w:pPr>
    </w:p>
    <w:p w:rsidR="009F6159" w:rsidRDefault="009F6159" w:rsidP="009F6159">
      <w:pPr>
        <w:spacing w:after="0" w:line="360" w:lineRule="auto"/>
        <w:ind w:firstLine="708"/>
        <w:jc w:val="both"/>
        <w:rPr>
          <w:rFonts w:ascii="Calibri" w:eastAsia="Calibri" w:hAnsi="Calibri" w:cs="Calibri"/>
          <w:i/>
        </w:rPr>
      </w:pPr>
      <w:r>
        <w:rPr>
          <w:rFonts w:ascii="Calibri" w:eastAsia="Calibri" w:hAnsi="Calibri" w:cs="Calibri"/>
        </w:rPr>
        <w:t>O artigo 41 da mesma lei define três modalidades de créditos adicionais, as quais foram recepcionadas pelo artigo 167 da Constituição Federal de 1988</w:t>
      </w:r>
      <w:r>
        <w:rPr>
          <w:rFonts w:ascii="Calibri" w:eastAsia="Calibri" w:hAnsi="Calibri" w:cs="Calibri"/>
          <w:i/>
        </w:rPr>
        <w:t xml:space="preserve">, in </w:t>
      </w:r>
      <w:proofErr w:type="spellStart"/>
      <w:r>
        <w:rPr>
          <w:rFonts w:ascii="Calibri" w:eastAsia="Calibri" w:hAnsi="Calibri" w:cs="Calibri"/>
          <w:i/>
        </w:rPr>
        <w:t>verbis</w:t>
      </w:r>
      <w:proofErr w:type="spellEnd"/>
      <w:r>
        <w:rPr>
          <w:rFonts w:ascii="Calibri" w:eastAsia="Calibri" w:hAnsi="Calibri" w:cs="Calibri"/>
          <w:i/>
        </w:rPr>
        <w:t>:</w:t>
      </w:r>
    </w:p>
    <w:p w:rsidR="009F6159" w:rsidRDefault="009F6159" w:rsidP="009F6159">
      <w:pPr>
        <w:spacing w:after="0" w:line="360" w:lineRule="auto"/>
        <w:ind w:firstLine="708"/>
        <w:jc w:val="both"/>
        <w:rPr>
          <w:rFonts w:ascii="Calibri" w:eastAsia="Calibri" w:hAnsi="Calibri" w:cs="Calibri"/>
          <w:i/>
        </w:rPr>
      </w:pPr>
    </w:p>
    <w:p w:rsidR="009F6159" w:rsidRDefault="009F6159" w:rsidP="009F6159">
      <w:pPr>
        <w:tabs>
          <w:tab w:val="left" w:pos="3408"/>
        </w:tabs>
        <w:spacing w:after="0" w:line="360" w:lineRule="auto"/>
        <w:ind w:left="3408"/>
        <w:jc w:val="both"/>
        <w:rPr>
          <w:rFonts w:ascii="Calibri" w:eastAsia="Calibri" w:hAnsi="Calibri" w:cs="Calibri"/>
          <w:i/>
        </w:rPr>
      </w:pPr>
      <w:r>
        <w:rPr>
          <w:rFonts w:ascii="Calibri" w:eastAsia="Calibri" w:hAnsi="Calibri" w:cs="Calibri"/>
          <w:i/>
        </w:rPr>
        <w:t>Art. 41. Os créditos adicionais classificam-se em:</w:t>
      </w:r>
    </w:p>
    <w:p w:rsidR="009F6159" w:rsidRDefault="009F6159" w:rsidP="009F6159">
      <w:pPr>
        <w:tabs>
          <w:tab w:val="left" w:pos="3408"/>
        </w:tabs>
        <w:spacing w:after="0" w:line="360" w:lineRule="auto"/>
        <w:ind w:left="3408"/>
        <w:jc w:val="both"/>
        <w:rPr>
          <w:rFonts w:ascii="Calibri" w:eastAsia="Calibri" w:hAnsi="Calibri" w:cs="Calibri"/>
          <w:i/>
        </w:rPr>
      </w:pPr>
      <w:r>
        <w:rPr>
          <w:rFonts w:ascii="Calibri" w:eastAsia="Calibri" w:hAnsi="Calibri" w:cs="Calibri"/>
          <w:i/>
        </w:rPr>
        <w:t>I - suplementares, os destinados a reforço de dotação orçamentária;</w:t>
      </w:r>
    </w:p>
    <w:p w:rsidR="009F6159" w:rsidRDefault="009F6159" w:rsidP="009F6159">
      <w:pPr>
        <w:tabs>
          <w:tab w:val="left" w:pos="3408"/>
        </w:tabs>
        <w:spacing w:after="0" w:line="360" w:lineRule="auto"/>
        <w:ind w:left="3408"/>
        <w:jc w:val="both"/>
        <w:rPr>
          <w:rFonts w:ascii="Calibri" w:eastAsia="Calibri" w:hAnsi="Calibri" w:cs="Calibri"/>
          <w:i/>
        </w:rPr>
      </w:pPr>
      <w:r>
        <w:rPr>
          <w:rFonts w:ascii="Calibri" w:eastAsia="Calibri" w:hAnsi="Calibri" w:cs="Calibri"/>
          <w:i/>
        </w:rPr>
        <w:t>II - especiais, os destinados a despesas para as quais não haja dotação orçamentária específica;</w:t>
      </w:r>
    </w:p>
    <w:p w:rsidR="009F6159" w:rsidRDefault="009F6159" w:rsidP="009F6159">
      <w:pPr>
        <w:tabs>
          <w:tab w:val="left" w:pos="3408"/>
        </w:tabs>
        <w:spacing w:after="0" w:line="360" w:lineRule="auto"/>
        <w:ind w:left="3408"/>
        <w:jc w:val="both"/>
        <w:rPr>
          <w:rFonts w:ascii="Calibri" w:eastAsia="Calibri" w:hAnsi="Calibri" w:cs="Calibri"/>
          <w:i/>
        </w:rPr>
      </w:pPr>
      <w:r>
        <w:rPr>
          <w:rFonts w:ascii="Calibri" w:eastAsia="Calibri" w:hAnsi="Calibri" w:cs="Calibri"/>
          <w:i/>
        </w:rPr>
        <w:lastRenderedPageBreak/>
        <w:t>III - extraordinários, os destinados a despesas urgentes e imprevistas, em caso de guerra, comoção intestina ou calamidade pública.</w:t>
      </w:r>
    </w:p>
    <w:p w:rsidR="009F6159" w:rsidRDefault="009F6159" w:rsidP="009F6159">
      <w:pPr>
        <w:tabs>
          <w:tab w:val="left" w:pos="3408"/>
        </w:tabs>
        <w:spacing w:after="0" w:line="360" w:lineRule="auto"/>
        <w:ind w:left="3408"/>
        <w:jc w:val="both"/>
        <w:rPr>
          <w:rFonts w:ascii="Calibri" w:eastAsia="Calibri" w:hAnsi="Calibri" w:cs="Calibri"/>
          <w:i/>
        </w:rPr>
      </w:pPr>
    </w:p>
    <w:p w:rsidR="00360069" w:rsidRDefault="009F6159" w:rsidP="009F6159">
      <w:pPr>
        <w:spacing w:after="0" w:line="360" w:lineRule="auto"/>
        <w:jc w:val="both"/>
        <w:rPr>
          <w:rFonts w:ascii="Calibri" w:eastAsia="Calibri" w:hAnsi="Calibri" w:cs="Calibri"/>
          <w:i/>
        </w:rPr>
      </w:pPr>
      <w:r>
        <w:rPr>
          <w:rFonts w:ascii="Calibri" w:eastAsia="Calibri" w:hAnsi="Calibri" w:cs="Calibri"/>
          <w:i/>
        </w:rPr>
        <w:tab/>
      </w:r>
    </w:p>
    <w:p w:rsidR="00360069" w:rsidRDefault="00360069" w:rsidP="009F6159">
      <w:pPr>
        <w:spacing w:after="0" w:line="360" w:lineRule="auto"/>
        <w:jc w:val="both"/>
        <w:rPr>
          <w:rFonts w:ascii="Calibri" w:eastAsia="Calibri" w:hAnsi="Calibri" w:cs="Calibri"/>
          <w:i/>
        </w:rPr>
      </w:pPr>
    </w:p>
    <w:p w:rsidR="009F6159" w:rsidRDefault="009F6159" w:rsidP="00360069">
      <w:pPr>
        <w:spacing w:after="0" w:line="360" w:lineRule="auto"/>
        <w:ind w:firstLine="708"/>
        <w:jc w:val="both"/>
        <w:rPr>
          <w:rFonts w:ascii="Calibri" w:eastAsia="Calibri" w:hAnsi="Calibri" w:cs="Calibri"/>
        </w:rPr>
      </w:pPr>
      <w:r>
        <w:rPr>
          <w:rFonts w:ascii="Calibri" w:eastAsia="Calibri" w:hAnsi="Calibri" w:cs="Calibri"/>
        </w:rPr>
        <w:t xml:space="preserve">Na justificativa anexa ao projeto ao citar o termo crédito adicional especial, não </w:t>
      </w:r>
      <w:r w:rsidR="001809C9">
        <w:rPr>
          <w:rFonts w:ascii="Calibri" w:eastAsia="Calibri" w:hAnsi="Calibri" w:cs="Calibri"/>
        </w:rPr>
        <w:t xml:space="preserve">está </w:t>
      </w:r>
      <w:r>
        <w:rPr>
          <w:rFonts w:ascii="Calibri" w:eastAsia="Calibri" w:hAnsi="Calibri" w:cs="Calibri"/>
        </w:rPr>
        <w:t>claro se o projeto realmente trata de abertura de credito adicional suplementar ou se envolverá crédito adicional especial.</w:t>
      </w:r>
    </w:p>
    <w:p w:rsidR="009F6159" w:rsidRDefault="009F6159" w:rsidP="009F6159">
      <w:pPr>
        <w:spacing w:after="0" w:line="360" w:lineRule="auto"/>
        <w:jc w:val="both"/>
        <w:rPr>
          <w:rFonts w:ascii="Calibri" w:eastAsia="Calibri" w:hAnsi="Calibri" w:cs="Calibri"/>
          <w:i/>
        </w:rPr>
      </w:pPr>
      <w:r>
        <w:rPr>
          <w:rFonts w:ascii="Calibri" w:eastAsia="Calibri" w:hAnsi="Calibri" w:cs="Calibri"/>
        </w:rPr>
        <w:tab/>
        <w:t xml:space="preserve">Ainda a respeito da justificativa, temos o valor referente </w:t>
      </w:r>
      <w:proofErr w:type="gramStart"/>
      <w:r>
        <w:rPr>
          <w:rFonts w:ascii="Calibri" w:eastAsia="Calibri" w:hAnsi="Calibri" w:cs="Calibri"/>
        </w:rPr>
        <w:t>a</w:t>
      </w:r>
      <w:proofErr w:type="gramEnd"/>
      <w:r>
        <w:rPr>
          <w:rFonts w:ascii="Calibri" w:eastAsia="Calibri" w:hAnsi="Calibri" w:cs="Calibri"/>
        </w:rPr>
        <w:t xml:space="preserve"> abertura de crédito descrito apenas na justificativa, não </w:t>
      </w:r>
      <w:r w:rsidR="001809C9">
        <w:rPr>
          <w:rFonts w:ascii="Calibri" w:eastAsia="Calibri" w:hAnsi="Calibri" w:cs="Calibri"/>
        </w:rPr>
        <w:t>estando descrito no projeto. Além disso, não há</w:t>
      </w:r>
      <w:r>
        <w:rPr>
          <w:rFonts w:ascii="Calibri" w:eastAsia="Calibri" w:hAnsi="Calibri" w:cs="Calibri"/>
        </w:rPr>
        <w:t xml:space="preserve"> motivação </w:t>
      </w:r>
      <w:r w:rsidR="001809C9">
        <w:rPr>
          <w:rFonts w:ascii="Calibri" w:eastAsia="Calibri" w:hAnsi="Calibri" w:cs="Calibri"/>
        </w:rPr>
        <w:t>clara par</w:t>
      </w:r>
      <w:r>
        <w:rPr>
          <w:rFonts w:ascii="Calibri" w:eastAsia="Calibri" w:hAnsi="Calibri" w:cs="Calibri"/>
        </w:rPr>
        <w:t>a abertura de crédito no valor que se aproxima de todo o superávit do exercício anterior</w:t>
      </w:r>
      <w:r w:rsidR="001809C9">
        <w:rPr>
          <w:rFonts w:ascii="Calibri" w:eastAsia="Calibri" w:hAnsi="Calibri" w:cs="Calibri"/>
        </w:rPr>
        <w:t>. O Projeto autoriza abertura de todo o valor,</w:t>
      </w:r>
      <w:r>
        <w:rPr>
          <w:rFonts w:ascii="Calibri" w:eastAsia="Calibri" w:hAnsi="Calibri" w:cs="Calibri"/>
        </w:rPr>
        <w:t xml:space="preserve"> em uma única solicitação, sem determinar a destinação dos recursos.</w:t>
      </w:r>
    </w:p>
    <w:p w:rsidR="009F6159" w:rsidRDefault="009F6159" w:rsidP="009F6159">
      <w:pPr>
        <w:spacing w:after="0" w:line="360" w:lineRule="auto"/>
        <w:jc w:val="both"/>
        <w:rPr>
          <w:rFonts w:ascii="Calibri" w:eastAsia="Calibri" w:hAnsi="Calibri" w:cs="Calibri"/>
        </w:rPr>
      </w:pPr>
      <w:r>
        <w:rPr>
          <w:rFonts w:ascii="Calibri" w:eastAsia="Calibri" w:hAnsi="Calibri" w:cs="Calibri"/>
          <w:i/>
        </w:rPr>
        <w:t xml:space="preserve"> </w:t>
      </w:r>
      <w:r>
        <w:rPr>
          <w:rFonts w:ascii="Calibri" w:eastAsia="Calibri" w:hAnsi="Calibri" w:cs="Calibri"/>
          <w:i/>
        </w:rPr>
        <w:tab/>
      </w:r>
      <w:r>
        <w:rPr>
          <w:rFonts w:ascii="Calibri" w:eastAsia="Calibri" w:hAnsi="Calibri" w:cs="Calibri"/>
        </w:rPr>
        <w:t>Após esclarecimento da modalidade de crédito adicional</w:t>
      </w:r>
      <w:r w:rsidR="001809C9">
        <w:rPr>
          <w:rFonts w:ascii="Calibri" w:eastAsia="Calibri" w:hAnsi="Calibri" w:cs="Calibri"/>
        </w:rPr>
        <w:t xml:space="preserve"> que será</w:t>
      </w:r>
      <w:r>
        <w:rPr>
          <w:rFonts w:ascii="Calibri" w:eastAsia="Calibri" w:hAnsi="Calibri" w:cs="Calibri"/>
        </w:rPr>
        <w:t xml:space="preserve"> adotada, pode ser </w:t>
      </w:r>
      <w:proofErr w:type="gramStart"/>
      <w:r>
        <w:rPr>
          <w:rFonts w:ascii="Calibri" w:eastAsia="Calibri" w:hAnsi="Calibri" w:cs="Calibri"/>
        </w:rPr>
        <w:t>adequado a inclusão de um artigo que reforce a necessidade de compatibilidade das peças orçamentárias, necessitando de prévia análise jurídica e conveniência do interesse público</w:t>
      </w:r>
      <w:proofErr w:type="gramEnd"/>
      <w:r>
        <w:rPr>
          <w:rFonts w:ascii="Calibri" w:eastAsia="Calibri" w:hAnsi="Calibri" w:cs="Calibri"/>
        </w:rPr>
        <w:t>, podendo autorizar o Executivo a adequar as alterações promovidas para o exercício 2022, desde que esta esteja em conformidade com o que preceitua a legislação sobre a matéria.</w:t>
      </w:r>
    </w:p>
    <w:p w:rsidR="009F6159" w:rsidRDefault="009F6159" w:rsidP="009F6159">
      <w:pPr>
        <w:spacing w:after="0" w:line="360" w:lineRule="auto"/>
        <w:jc w:val="both"/>
        <w:rPr>
          <w:rFonts w:ascii="Calibri" w:eastAsia="Calibri" w:hAnsi="Calibri" w:cs="Calibri"/>
        </w:rPr>
      </w:pPr>
      <w:r>
        <w:rPr>
          <w:rFonts w:ascii="Calibri" w:eastAsia="Calibri" w:hAnsi="Calibri" w:cs="Calibri"/>
        </w:rPr>
        <w:tab/>
        <w:t>É importante esclarecer que diversas prefeituras durante o período de 2020 a 2021 não conseguiram executar despesas como se previa</w:t>
      </w:r>
      <w:r w:rsidR="00C77163">
        <w:rPr>
          <w:rFonts w:ascii="Calibri" w:eastAsia="Calibri" w:hAnsi="Calibri" w:cs="Calibri"/>
        </w:rPr>
        <w:t xml:space="preserve"> em </w:t>
      </w:r>
      <w:r w:rsidR="001809C9">
        <w:rPr>
          <w:rFonts w:ascii="Calibri" w:eastAsia="Calibri" w:hAnsi="Calibri" w:cs="Calibri"/>
        </w:rPr>
        <w:t>um período sem pandemia.</w:t>
      </w:r>
      <w:r>
        <w:rPr>
          <w:rFonts w:ascii="Calibri" w:eastAsia="Calibri" w:hAnsi="Calibri" w:cs="Calibri"/>
        </w:rPr>
        <w:t xml:space="preserve"> </w:t>
      </w:r>
      <w:r w:rsidR="001809C9">
        <w:rPr>
          <w:rFonts w:ascii="Calibri" w:eastAsia="Calibri" w:hAnsi="Calibri" w:cs="Calibri"/>
        </w:rPr>
        <w:t>A</w:t>
      </w:r>
      <w:r>
        <w:rPr>
          <w:rFonts w:ascii="Calibri" w:eastAsia="Calibri" w:hAnsi="Calibri" w:cs="Calibri"/>
        </w:rPr>
        <w:t xml:space="preserve"> arrecadação no período também foi, </w:t>
      </w:r>
      <w:proofErr w:type="gramStart"/>
      <w:r>
        <w:rPr>
          <w:rFonts w:ascii="Calibri" w:eastAsia="Calibri" w:hAnsi="Calibri" w:cs="Calibri"/>
        </w:rPr>
        <w:t>via de regra</w:t>
      </w:r>
      <w:proofErr w:type="gramEnd"/>
      <w:r>
        <w:rPr>
          <w:rFonts w:ascii="Calibri" w:eastAsia="Calibri" w:hAnsi="Calibri" w:cs="Calibri"/>
        </w:rPr>
        <w:t>, superior ao esperado em diversos municípios, onde se conclui a lógica que originou o superávit nas fontes de recurso apresentadas no documento anexo ao projeto.</w:t>
      </w:r>
    </w:p>
    <w:p w:rsidR="009F6159" w:rsidRDefault="009F6159" w:rsidP="009F6159">
      <w:pPr>
        <w:spacing w:after="0" w:line="360" w:lineRule="auto"/>
        <w:jc w:val="both"/>
        <w:rPr>
          <w:rFonts w:ascii="Calibri" w:eastAsia="Calibri" w:hAnsi="Calibri" w:cs="Calibri"/>
        </w:rPr>
      </w:pPr>
      <w:r>
        <w:rPr>
          <w:rFonts w:ascii="Calibri" w:eastAsia="Calibri" w:hAnsi="Calibri" w:cs="Calibri"/>
        </w:rPr>
        <w:tab/>
        <w:t>Também é sabido que a Lei de Diretrizes Orçamentárias referente ao exercício de 2022</w:t>
      </w:r>
      <w:proofErr w:type="gramStart"/>
      <w:r>
        <w:rPr>
          <w:rFonts w:ascii="Calibri" w:eastAsia="Calibri" w:hAnsi="Calibri" w:cs="Calibri"/>
        </w:rPr>
        <w:t>, foi</w:t>
      </w:r>
      <w:proofErr w:type="gramEnd"/>
      <w:r>
        <w:rPr>
          <w:rFonts w:ascii="Calibri" w:eastAsia="Calibri" w:hAnsi="Calibri" w:cs="Calibri"/>
        </w:rPr>
        <w:t xml:space="preserve"> planejada em abril de 2021, e ao longo </w:t>
      </w:r>
      <w:r w:rsidR="00BF6CFD">
        <w:rPr>
          <w:rFonts w:ascii="Calibri" w:eastAsia="Calibri" w:hAnsi="Calibri" w:cs="Calibri"/>
        </w:rPr>
        <w:t xml:space="preserve">deste </w:t>
      </w:r>
      <w:r>
        <w:rPr>
          <w:rFonts w:ascii="Calibri" w:eastAsia="Calibri" w:hAnsi="Calibri" w:cs="Calibri"/>
        </w:rPr>
        <w:t>período ocorrem diversas mudanças que tornam necessário algumas correções, recomposição de perdas e um novo estudo estimativo para o bom andamento da execução orçamentária.</w:t>
      </w:r>
    </w:p>
    <w:p w:rsidR="009F6159" w:rsidRDefault="009F6159" w:rsidP="009F6159">
      <w:pPr>
        <w:spacing w:after="0" w:line="360" w:lineRule="auto"/>
        <w:jc w:val="both"/>
        <w:rPr>
          <w:rFonts w:ascii="Calibri" w:eastAsia="Calibri" w:hAnsi="Calibri" w:cs="Calibri"/>
        </w:rPr>
      </w:pPr>
      <w:r>
        <w:rPr>
          <w:rFonts w:ascii="Calibri" w:eastAsia="Calibri" w:hAnsi="Calibri" w:cs="Calibri"/>
        </w:rPr>
        <w:tab/>
        <w:t xml:space="preserve">Por outro lado, no que diz respeito </w:t>
      </w:r>
      <w:r w:rsidR="001809C9">
        <w:rPr>
          <w:rFonts w:ascii="Calibri" w:eastAsia="Calibri" w:hAnsi="Calibri" w:cs="Calibri"/>
        </w:rPr>
        <w:t>às</w:t>
      </w:r>
      <w:r>
        <w:rPr>
          <w:rFonts w:ascii="Calibri" w:eastAsia="Calibri" w:hAnsi="Calibri" w:cs="Calibri"/>
        </w:rPr>
        <w:t xml:space="preserve"> questões orçamentárias e financeiras, o Poder Legislativo deve atuar como contrapeso, buscando a limitação da dívida pública a um nível prudente. Sendo assim, adequado que os vereadores mantenham métodos de controle e fiscalização para acompanhar a destinação dos recursos.</w:t>
      </w:r>
    </w:p>
    <w:p w:rsidR="009F6159" w:rsidRDefault="009F6159" w:rsidP="009F6159">
      <w:pPr>
        <w:spacing w:after="0" w:line="360" w:lineRule="auto"/>
        <w:jc w:val="both"/>
        <w:rPr>
          <w:rFonts w:ascii="Calibri" w:eastAsia="Calibri" w:hAnsi="Calibri" w:cs="Calibri"/>
        </w:rPr>
      </w:pPr>
      <w:r>
        <w:rPr>
          <w:rFonts w:ascii="Calibri" w:eastAsia="Calibri" w:hAnsi="Calibri" w:cs="Calibri"/>
        </w:rPr>
        <w:lastRenderedPageBreak/>
        <w:tab/>
        <w:t>Cumpridos os requisitos legais é possível a abertura de crédito suplementar, porém é necessário esclarecer, em algumas situações, a abertura de créditos suplementares</w:t>
      </w:r>
      <w:r w:rsidR="00C77163">
        <w:rPr>
          <w:rFonts w:ascii="Calibri" w:eastAsia="Calibri" w:hAnsi="Calibri" w:cs="Calibri"/>
        </w:rPr>
        <w:t xml:space="preserve"> pode</w:t>
      </w:r>
      <w:r>
        <w:rPr>
          <w:rFonts w:ascii="Calibri" w:eastAsia="Calibri" w:hAnsi="Calibri" w:cs="Calibri"/>
        </w:rPr>
        <w:t xml:space="preserve"> viabilizar o aumento da dívida pública, principalmente quando ocorre arrecadação abaixo do esperado.</w:t>
      </w:r>
    </w:p>
    <w:p w:rsidR="00360069" w:rsidRDefault="00360069" w:rsidP="009F6159">
      <w:pPr>
        <w:spacing w:after="0" w:line="360" w:lineRule="auto"/>
        <w:ind w:firstLine="708"/>
        <w:jc w:val="both"/>
        <w:rPr>
          <w:rFonts w:ascii="Calibri" w:eastAsia="Calibri" w:hAnsi="Calibri" w:cs="Calibri"/>
          <w:sz w:val="24"/>
        </w:rPr>
      </w:pPr>
    </w:p>
    <w:p w:rsidR="00360069" w:rsidRDefault="00360069" w:rsidP="009F6159">
      <w:pPr>
        <w:spacing w:after="0" w:line="360" w:lineRule="auto"/>
        <w:ind w:firstLine="708"/>
        <w:jc w:val="both"/>
        <w:rPr>
          <w:rFonts w:ascii="Calibri" w:eastAsia="Calibri" w:hAnsi="Calibri" w:cs="Calibri"/>
          <w:sz w:val="24"/>
        </w:rPr>
      </w:pPr>
    </w:p>
    <w:p w:rsidR="00360069" w:rsidRDefault="00360069" w:rsidP="009F6159">
      <w:pPr>
        <w:spacing w:after="0" w:line="360" w:lineRule="auto"/>
        <w:ind w:firstLine="708"/>
        <w:jc w:val="both"/>
        <w:rPr>
          <w:rFonts w:ascii="Calibri" w:eastAsia="Calibri" w:hAnsi="Calibri" w:cs="Calibri"/>
          <w:sz w:val="24"/>
        </w:rPr>
      </w:pPr>
    </w:p>
    <w:p w:rsidR="009F6159" w:rsidRDefault="009F6159" w:rsidP="009F6159">
      <w:pPr>
        <w:spacing w:after="0" w:line="360" w:lineRule="auto"/>
        <w:ind w:firstLine="708"/>
        <w:jc w:val="both"/>
        <w:rPr>
          <w:rFonts w:ascii="Calibri" w:eastAsia="Calibri" w:hAnsi="Calibri" w:cs="Calibri"/>
          <w:sz w:val="24"/>
        </w:rPr>
      </w:pPr>
      <w:r>
        <w:rPr>
          <w:rFonts w:ascii="Calibri" w:eastAsia="Calibri" w:hAnsi="Calibri" w:cs="Calibri"/>
          <w:sz w:val="24"/>
        </w:rPr>
        <w:t xml:space="preserve">A conveniência e oportunidade da abertura de crédito adicional suplementar </w:t>
      </w:r>
      <w:proofErr w:type="gramStart"/>
      <w:r>
        <w:rPr>
          <w:rFonts w:ascii="Calibri" w:eastAsia="Calibri" w:hAnsi="Calibri" w:cs="Calibri"/>
          <w:sz w:val="24"/>
        </w:rPr>
        <w:t>deve ser analisada</w:t>
      </w:r>
      <w:proofErr w:type="gramEnd"/>
      <w:r>
        <w:rPr>
          <w:rFonts w:ascii="Calibri" w:eastAsia="Calibri" w:hAnsi="Calibri" w:cs="Calibri"/>
          <w:sz w:val="24"/>
        </w:rPr>
        <w:t xml:space="preserve"> exclusivamente pelos Excelentíssimos Vereadores. Em síntese, sob o aspecto formal, o projeto atende satisfatoriamente aos parâmetros exigidos pela Lei de Responsabilidade Fiscal e pela Constituição Federal. Apresentadas as informações técnico-contábeis, cabe ao Egrégio Plenário apreciar o mérito do presente projeto, devendo ser observado o interesse público local, e, se for o caso, solicitar informações complementares.</w:t>
      </w:r>
    </w:p>
    <w:p w:rsidR="009F6159" w:rsidRDefault="009F6159" w:rsidP="009F6159">
      <w:pPr>
        <w:spacing w:after="0" w:line="276" w:lineRule="auto"/>
        <w:ind w:firstLine="1350"/>
        <w:jc w:val="both"/>
        <w:rPr>
          <w:rFonts w:ascii="Calibri" w:eastAsia="Calibri" w:hAnsi="Calibri" w:cs="Calibri"/>
          <w:sz w:val="24"/>
        </w:rPr>
      </w:pPr>
    </w:p>
    <w:p w:rsidR="009F6159" w:rsidRDefault="009F6159" w:rsidP="009F6159">
      <w:pPr>
        <w:spacing w:after="0" w:line="276" w:lineRule="auto"/>
        <w:ind w:firstLine="1350"/>
        <w:jc w:val="both"/>
        <w:rPr>
          <w:rFonts w:ascii="Calibri" w:eastAsia="Calibri" w:hAnsi="Calibri" w:cs="Calibri"/>
          <w:sz w:val="24"/>
        </w:rPr>
      </w:pPr>
      <w:r>
        <w:rPr>
          <w:rFonts w:ascii="Calibri" w:eastAsia="Calibri" w:hAnsi="Calibri" w:cs="Calibri"/>
          <w:sz w:val="24"/>
        </w:rPr>
        <w:t>Eis o parecer.</w:t>
      </w:r>
    </w:p>
    <w:p w:rsidR="009F6159" w:rsidRDefault="009F6159" w:rsidP="009F6159">
      <w:pPr>
        <w:spacing w:after="0" w:line="276" w:lineRule="auto"/>
        <w:ind w:firstLine="1350"/>
        <w:jc w:val="both"/>
        <w:rPr>
          <w:rFonts w:ascii="Calibri" w:eastAsia="Calibri" w:hAnsi="Calibri" w:cs="Calibri"/>
          <w:sz w:val="24"/>
        </w:rPr>
      </w:pPr>
    </w:p>
    <w:p w:rsidR="009F6159" w:rsidRDefault="009F6159" w:rsidP="009F6159">
      <w:pPr>
        <w:spacing w:after="0" w:line="276" w:lineRule="auto"/>
        <w:jc w:val="center"/>
        <w:rPr>
          <w:rFonts w:ascii="Calibri" w:eastAsia="Calibri" w:hAnsi="Calibri" w:cs="Calibri"/>
          <w:sz w:val="24"/>
        </w:rPr>
      </w:pPr>
      <w:r>
        <w:rPr>
          <w:rFonts w:ascii="Calibri" w:eastAsia="Calibri" w:hAnsi="Calibri" w:cs="Calibri"/>
          <w:sz w:val="24"/>
        </w:rPr>
        <w:t>Bom Jardim de Minas, 06 de junho de 2022.</w:t>
      </w:r>
    </w:p>
    <w:p w:rsidR="009F6159" w:rsidRDefault="009F6159" w:rsidP="009F6159">
      <w:pPr>
        <w:spacing w:after="0" w:line="276" w:lineRule="auto"/>
        <w:jc w:val="center"/>
        <w:rPr>
          <w:rFonts w:ascii="Calibri" w:eastAsia="Calibri" w:hAnsi="Calibri" w:cs="Calibri"/>
          <w:sz w:val="24"/>
        </w:rPr>
      </w:pPr>
    </w:p>
    <w:p w:rsidR="009F6159" w:rsidRDefault="009F6159" w:rsidP="009F6159">
      <w:pPr>
        <w:spacing w:after="0" w:line="276" w:lineRule="auto"/>
        <w:jc w:val="center"/>
        <w:rPr>
          <w:rFonts w:ascii="Calibri" w:eastAsia="Calibri" w:hAnsi="Calibri" w:cs="Calibri"/>
          <w:sz w:val="24"/>
        </w:rPr>
      </w:pPr>
    </w:p>
    <w:p w:rsidR="009F6159" w:rsidRDefault="009F6159" w:rsidP="009F6159">
      <w:pPr>
        <w:spacing w:after="0" w:line="276" w:lineRule="auto"/>
        <w:jc w:val="center"/>
        <w:rPr>
          <w:rFonts w:ascii="Calibri" w:eastAsia="Calibri" w:hAnsi="Calibri" w:cs="Calibri"/>
          <w:sz w:val="24"/>
        </w:rPr>
      </w:pPr>
    </w:p>
    <w:p w:rsidR="009F6159" w:rsidRDefault="009F6159" w:rsidP="009F6159">
      <w:pPr>
        <w:spacing w:after="0" w:line="276" w:lineRule="auto"/>
        <w:jc w:val="center"/>
        <w:rPr>
          <w:rFonts w:ascii="Calibri" w:eastAsia="Calibri" w:hAnsi="Calibri" w:cs="Calibri"/>
          <w:sz w:val="24"/>
        </w:rPr>
      </w:pPr>
      <w:r>
        <w:rPr>
          <w:rFonts w:ascii="Calibri" w:eastAsia="Calibri" w:hAnsi="Calibri" w:cs="Calibri"/>
          <w:sz w:val="24"/>
        </w:rPr>
        <w:t>Kelly Fonseca dos Santos</w:t>
      </w:r>
    </w:p>
    <w:p w:rsidR="009F6159" w:rsidRDefault="009F6159" w:rsidP="009F6159">
      <w:pPr>
        <w:spacing w:after="0" w:line="276" w:lineRule="auto"/>
        <w:jc w:val="center"/>
        <w:rPr>
          <w:rFonts w:ascii="Calibri" w:eastAsia="Calibri" w:hAnsi="Calibri" w:cs="Calibri"/>
          <w:sz w:val="24"/>
        </w:rPr>
      </w:pPr>
      <w:r>
        <w:rPr>
          <w:rFonts w:ascii="Calibri" w:eastAsia="Calibri" w:hAnsi="Calibri" w:cs="Calibri"/>
          <w:sz w:val="24"/>
        </w:rPr>
        <w:t>CRC-RJ 113819/O-8 T-MG</w:t>
      </w:r>
    </w:p>
    <w:p w:rsidR="00967831" w:rsidRPr="009F6159" w:rsidRDefault="00967831" w:rsidP="009F6159"/>
    <w:sectPr w:rsidR="00967831" w:rsidRPr="009F6159" w:rsidSect="00B90EEF">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61" w:rsidRDefault="00D72961" w:rsidP="003A4A3B">
      <w:pPr>
        <w:spacing w:after="0" w:line="240" w:lineRule="auto"/>
      </w:pPr>
      <w:r>
        <w:separator/>
      </w:r>
    </w:p>
  </w:endnote>
  <w:endnote w:type="continuationSeparator" w:id="0">
    <w:p w:rsidR="00D72961" w:rsidRDefault="00D72961"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EF" w:rsidRDefault="00B90EEF" w:rsidP="00B90EEF">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B90EEF" w:rsidTr="00B90EEF">
      <w:trPr>
        <w:jc w:val="center"/>
      </w:trPr>
      <w:tc>
        <w:tcPr>
          <w:tcW w:w="8500" w:type="dxa"/>
          <w:tcBorders>
            <w:top w:val="single" w:sz="18" w:space="0" w:color="44546A" w:themeColor="text2"/>
            <w:left w:val="nil"/>
            <w:bottom w:val="nil"/>
            <w:right w:val="nil"/>
          </w:tcBorders>
          <w:vAlign w:val="center"/>
          <w:hideMark/>
        </w:tcPr>
        <w:p w:rsidR="00B5260C" w:rsidRDefault="00B5260C" w:rsidP="00B5260C">
          <w:pPr>
            <w:spacing w:after="0"/>
            <w:jc w:val="center"/>
            <w:rPr>
              <w:color w:val="44546A" w:themeColor="text2"/>
              <w:sz w:val="20"/>
              <w:szCs w:val="20"/>
            </w:rPr>
          </w:pPr>
          <w:r>
            <w:rPr>
              <w:color w:val="44546A" w:themeColor="text2"/>
              <w:sz w:val="20"/>
              <w:szCs w:val="20"/>
            </w:rPr>
            <w:t>Rua Liberdade, 270, Centro, Bom Jardim de Minas-MG – CEP: 37310-000 – Tel.: (32) 3292-</w:t>
          </w:r>
          <w:proofErr w:type="gramStart"/>
          <w:r>
            <w:rPr>
              <w:color w:val="44546A" w:themeColor="text2"/>
              <w:sz w:val="20"/>
              <w:szCs w:val="20"/>
            </w:rPr>
            <w:t>1421</w:t>
          </w:r>
          <w:proofErr w:type="gramEnd"/>
        </w:p>
        <w:p w:rsidR="00B90EEF" w:rsidRDefault="00B5260C" w:rsidP="00B5260C">
          <w:pPr>
            <w:spacing w:after="0"/>
            <w:jc w:val="center"/>
            <w:rPr>
              <w:color w:val="44546A" w:themeColor="text2"/>
              <w:sz w:val="20"/>
              <w:szCs w:val="20"/>
            </w:rPr>
          </w:pPr>
          <w:r>
            <w:rPr>
              <w:color w:val="44546A" w:themeColor="text2"/>
              <w:sz w:val="20"/>
              <w:szCs w:val="20"/>
            </w:rPr>
            <w:t xml:space="preserve">E-mail: camara@bomjardimdeminas.mg.leg.br – Site: </w:t>
          </w:r>
          <w:proofErr w:type="gramStart"/>
          <w:r>
            <w:rPr>
              <w:color w:val="44546A" w:themeColor="text2"/>
              <w:sz w:val="20"/>
              <w:szCs w:val="20"/>
            </w:rPr>
            <w:t>bomjardimdeminas.</w:t>
          </w:r>
          <w:proofErr w:type="gramEnd"/>
          <w:r>
            <w:rPr>
              <w:color w:val="44546A" w:themeColor="text2"/>
              <w:sz w:val="20"/>
              <w:szCs w:val="20"/>
            </w:rPr>
            <w:t>mg.leg.br</w:t>
          </w:r>
        </w:p>
      </w:tc>
      <w:tc>
        <w:tcPr>
          <w:tcW w:w="561" w:type="dxa"/>
          <w:tcBorders>
            <w:top w:val="single" w:sz="18" w:space="0" w:color="44546A" w:themeColor="text2"/>
            <w:left w:val="nil"/>
            <w:bottom w:val="nil"/>
            <w:right w:val="nil"/>
          </w:tcBorders>
          <w:vAlign w:val="center"/>
          <w:hideMark/>
        </w:tcPr>
        <w:p w:rsidR="00B90EEF" w:rsidRDefault="00B90EEF" w:rsidP="00B90EEF">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A97528">
            <w:rPr>
              <w:noProof/>
              <w:color w:val="44546A" w:themeColor="text2"/>
              <w:sz w:val="20"/>
              <w:szCs w:val="20"/>
            </w:rPr>
            <w:t>1</w:t>
          </w:r>
          <w:r>
            <w:rPr>
              <w:color w:val="44546A" w:themeColor="text2"/>
              <w:sz w:val="20"/>
              <w:szCs w:val="20"/>
            </w:rPr>
            <w:fldChar w:fldCharType="end"/>
          </w:r>
        </w:p>
      </w:tc>
    </w:tr>
  </w:tbl>
  <w:p w:rsidR="00B90EEF" w:rsidRDefault="00B90EEF" w:rsidP="00B90EE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61" w:rsidRDefault="00D72961" w:rsidP="003A4A3B">
      <w:pPr>
        <w:spacing w:after="0" w:line="240" w:lineRule="auto"/>
      </w:pPr>
      <w:r>
        <w:separator/>
      </w:r>
    </w:p>
  </w:footnote>
  <w:footnote w:type="continuationSeparator" w:id="0">
    <w:p w:rsidR="00D72961" w:rsidRDefault="00D72961"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B90EEF" w:rsidTr="00B90EEF">
      <w:trPr>
        <w:tblCellSpacing w:w="0" w:type="dxa"/>
      </w:trPr>
      <w:tc>
        <w:tcPr>
          <w:tcW w:w="665" w:type="pct"/>
          <w:tcBorders>
            <w:top w:val="nil"/>
            <w:left w:val="nil"/>
            <w:bottom w:val="nil"/>
            <w:right w:val="nil"/>
          </w:tcBorders>
          <w:hideMark/>
        </w:tcPr>
        <w:p w:rsidR="00B90EEF" w:rsidRDefault="00B90EEF" w:rsidP="00B90EEF">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5B45C88E" wp14:editId="44758255">
                <wp:extent cx="819150" cy="914400"/>
                <wp:effectExtent l="0" t="0" r="0" b="0"/>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rsidR="00B90EEF" w:rsidRDefault="00B90EEF" w:rsidP="00B90EEF">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rsidR="00B90EEF" w:rsidRDefault="00B90EEF" w:rsidP="00B90EEF">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1"/>
  </w:num>
  <w:num w:numId="2">
    <w:abstractNumId w:val="6"/>
  </w:num>
  <w:num w:numId="3">
    <w:abstractNumId w:val="1"/>
  </w:num>
  <w:num w:numId="4">
    <w:abstractNumId w:val="8"/>
  </w:num>
  <w:num w:numId="5">
    <w:abstractNumId w:val="10"/>
  </w:num>
  <w:num w:numId="6">
    <w:abstractNumId w:val="12"/>
  </w:num>
  <w:num w:numId="7">
    <w:abstractNumId w:val="7"/>
  </w:num>
  <w:num w:numId="8">
    <w:abstractNumId w:val="3"/>
  </w:num>
  <w:num w:numId="9">
    <w:abstractNumId w:val="9"/>
  </w:num>
  <w:num w:numId="10">
    <w:abstractNumId w:val="4"/>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CD"/>
    <w:rsid w:val="0000057D"/>
    <w:rsid w:val="00003302"/>
    <w:rsid w:val="000121B1"/>
    <w:rsid w:val="000139E2"/>
    <w:rsid w:val="00023C7F"/>
    <w:rsid w:val="00023C8B"/>
    <w:rsid w:val="00025F56"/>
    <w:rsid w:val="00032818"/>
    <w:rsid w:val="0003601F"/>
    <w:rsid w:val="0005108F"/>
    <w:rsid w:val="00051B1E"/>
    <w:rsid w:val="00052891"/>
    <w:rsid w:val="00056D31"/>
    <w:rsid w:val="000570B5"/>
    <w:rsid w:val="00060622"/>
    <w:rsid w:val="000613E3"/>
    <w:rsid w:val="00065F43"/>
    <w:rsid w:val="00072FEE"/>
    <w:rsid w:val="00073D0B"/>
    <w:rsid w:val="00082CD5"/>
    <w:rsid w:val="00082F86"/>
    <w:rsid w:val="000908D5"/>
    <w:rsid w:val="00097EB7"/>
    <w:rsid w:val="000A20D5"/>
    <w:rsid w:val="000A3D0C"/>
    <w:rsid w:val="000A6769"/>
    <w:rsid w:val="000B0144"/>
    <w:rsid w:val="000B1420"/>
    <w:rsid w:val="000B773E"/>
    <w:rsid w:val="000C3590"/>
    <w:rsid w:val="000C393D"/>
    <w:rsid w:val="000C3B6C"/>
    <w:rsid w:val="000C3D73"/>
    <w:rsid w:val="000C7248"/>
    <w:rsid w:val="000C7C93"/>
    <w:rsid w:val="000D32DC"/>
    <w:rsid w:val="000D39FA"/>
    <w:rsid w:val="000D5063"/>
    <w:rsid w:val="000E1C32"/>
    <w:rsid w:val="000E3B7E"/>
    <w:rsid w:val="000E7797"/>
    <w:rsid w:val="000F763C"/>
    <w:rsid w:val="00102C22"/>
    <w:rsid w:val="00103180"/>
    <w:rsid w:val="00115183"/>
    <w:rsid w:val="00115360"/>
    <w:rsid w:val="00115705"/>
    <w:rsid w:val="00124352"/>
    <w:rsid w:val="00126CF6"/>
    <w:rsid w:val="00127ED3"/>
    <w:rsid w:val="00143F55"/>
    <w:rsid w:val="00147012"/>
    <w:rsid w:val="00160AF0"/>
    <w:rsid w:val="001645BE"/>
    <w:rsid w:val="00167E2D"/>
    <w:rsid w:val="0017202C"/>
    <w:rsid w:val="001721D7"/>
    <w:rsid w:val="00175ADE"/>
    <w:rsid w:val="001762CC"/>
    <w:rsid w:val="001809C9"/>
    <w:rsid w:val="00182787"/>
    <w:rsid w:val="00185D19"/>
    <w:rsid w:val="00187344"/>
    <w:rsid w:val="00192983"/>
    <w:rsid w:val="0019491B"/>
    <w:rsid w:val="00197E48"/>
    <w:rsid w:val="001B5A45"/>
    <w:rsid w:val="001B6374"/>
    <w:rsid w:val="001B6F51"/>
    <w:rsid w:val="001B7CFD"/>
    <w:rsid w:val="001C2752"/>
    <w:rsid w:val="001C4D09"/>
    <w:rsid w:val="001C7A18"/>
    <w:rsid w:val="001D0AF3"/>
    <w:rsid w:val="001D17BD"/>
    <w:rsid w:val="001D20B9"/>
    <w:rsid w:val="001D254C"/>
    <w:rsid w:val="001D313C"/>
    <w:rsid w:val="001D755A"/>
    <w:rsid w:val="001E6FAE"/>
    <w:rsid w:val="001E7384"/>
    <w:rsid w:val="001E7A8C"/>
    <w:rsid w:val="001F10C1"/>
    <w:rsid w:val="001F609F"/>
    <w:rsid w:val="001F7DAC"/>
    <w:rsid w:val="0020587A"/>
    <w:rsid w:val="0021176C"/>
    <w:rsid w:val="00220534"/>
    <w:rsid w:val="00232149"/>
    <w:rsid w:val="002337D0"/>
    <w:rsid w:val="00236A80"/>
    <w:rsid w:val="00241290"/>
    <w:rsid w:val="002416E1"/>
    <w:rsid w:val="0024331F"/>
    <w:rsid w:val="002477F3"/>
    <w:rsid w:val="00247DDC"/>
    <w:rsid w:val="00252C64"/>
    <w:rsid w:val="002607EA"/>
    <w:rsid w:val="00263E48"/>
    <w:rsid w:val="0026686C"/>
    <w:rsid w:val="00271C85"/>
    <w:rsid w:val="00273D0E"/>
    <w:rsid w:val="002741E7"/>
    <w:rsid w:val="00274413"/>
    <w:rsid w:val="00285903"/>
    <w:rsid w:val="002865A4"/>
    <w:rsid w:val="00286B0A"/>
    <w:rsid w:val="00294D59"/>
    <w:rsid w:val="002A02D5"/>
    <w:rsid w:val="002A7111"/>
    <w:rsid w:val="002A7620"/>
    <w:rsid w:val="002B0563"/>
    <w:rsid w:val="002B2818"/>
    <w:rsid w:val="002B3F59"/>
    <w:rsid w:val="002B6152"/>
    <w:rsid w:val="002C48D0"/>
    <w:rsid w:val="002D04D0"/>
    <w:rsid w:val="002D30B5"/>
    <w:rsid w:val="002E2F6F"/>
    <w:rsid w:val="002E59C1"/>
    <w:rsid w:val="002E5A01"/>
    <w:rsid w:val="002E7989"/>
    <w:rsid w:val="00305004"/>
    <w:rsid w:val="0031388D"/>
    <w:rsid w:val="0031643F"/>
    <w:rsid w:val="00317D56"/>
    <w:rsid w:val="003217D0"/>
    <w:rsid w:val="00323422"/>
    <w:rsid w:val="003237B9"/>
    <w:rsid w:val="00326A20"/>
    <w:rsid w:val="00331529"/>
    <w:rsid w:val="003418A9"/>
    <w:rsid w:val="00347390"/>
    <w:rsid w:val="00355A63"/>
    <w:rsid w:val="00357F8A"/>
    <w:rsid w:val="00360069"/>
    <w:rsid w:val="003623FD"/>
    <w:rsid w:val="003728B8"/>
    <w:rsid w:val="00383F66"/>
    <w:rsid w:val="003A16C9"/>
    <w:rsid w:val="003A4A3B"/>
    <w:rsid w:val="003A78CF"/>
    <w:rsid w:val="003A7F79"/>
    <w:rsid w:val="003B06E8"/>
    <w:rsid w:val="003B449D"/>
    <w:rsid w:val="003B7883"/>
    <w:rsid w:val="003C4BB7"/>
    <w:rsid w:val="003C76C5"/>
    <w:rsid w:val="003D1348"/>
    <w:rsid w:val="003D2EDF"/>
    <w:rsid w:val="003E08D4"/>
    <w:rsid w:val="003E6A90"/>
    <w:rsid w:val="003E6A96"/>
    <w:rsid w:val="003F0E73"/>
    <w:rsid w:val="003F2C1E"/>
    <w:rsid w:val="003F7DA4"/>
    <w:rsid w:val="004038F2"/>
    <w:rsid w:val="004070A3"/>
    <w:rsid w:val="00411205"/>
    <w:rsid w:val="0041218D"/>
    <w:rsid w:val="00416832"/>
    <w:rsid w:val="00420B08"/>
    <w:rsid w:val="00424502"/>
    <w:rsid w:val="00427BE2"/>
    <w:rsid w:val="004303EB"/>
    <w:rsid w:val="0043123F"/>
    <w:rsid w:val="004314EC"/>
    <w:rsid w:val="00432935"/>
    <w:rsid w:val="004351E5"/>
    <w:rsid w:val="00436448"/>
    <w:rsid w:val="004459B5"/>
    <w:rsid w:val="00446D48"/>
    <w:rsid w:val="0044720C"/>
    <w:rsid w:val="0045131A"/>
    <w:rsid w:val="004517BB"/>
    <w:rsid w:val="00452D0A"/>
    <w:rsid w:val="00454960"/>
    <w:rsid w:val="00455954"/>
    <w:rsid w:val="00456DCC"/>
    <w:rsid w:val="00463B76"/>
    <w:rsid w:val="004862AF"/>
    <w:rsid w:val="0048737A"/>
    <w:rsid w:val="00490331"/>
    <w:rsid w:val="004955D7"/>
    <w:rsid w:val="00495B0B"/>
    <w:rsid w:val="004979E1"/>
    <w:rsid w:val="004A5BA0"/>
    <w:rsid w:val="004B17C5"/>
    <w:rsid w:val="004B4667"/>
    <w:rsid w:val="004C103F"/>
    <w:rsid w:val="004C564B"/>
    <w:rsid w:val="004C5BC8"/>
    <w:rsid w:val="004C7064"/>
    <w:rsid w:val="004C73C2"/>
    <w:rsid w:val="004D179E"/>
    <w:rsid w:val="004D3A1A"/>
    <w:rsid w:val="004D6ACF"/>
    <w:rsid w:val="004E3A84"/>
    <w:rsid w:val="004E6C05"/>
    <w:rsid w:val="004E756E"/>
    <w:rsid w:val="004F6B64"/>
    <w:rsid w:val="00501E5E"/>
    <w:rsid w:val="0050710E"/>
    <w:rsid w:val="0051788A"/>
    <w:rsid w:val="00522791"/>
    <w:rsid w:val="005304AA"/>
    <w:rsid w:val="00535221"/>
    <w:rsid w:val="00544724"/>
    <w:rsid w:val="00550BCE"/>
    <w:rsid w:val="00574960"/>
    <w:rsid w:val="005818B3"/>
    <w:rsid w:val="00595F4D"/>
    <w:rsid w:val="00597541"/>
    <w:rsid w:val="00597D43"/>
    <w:rsid w:val="005A0638"/>
    <w:rsid w:val="005A0D95"/>
    <w:rsid w:val="005A42D8"/>
    <w:rsid w:val="005B3850"/>
    <w:rsid w:val="005B6162"/>
    <w:rsid w:val="005C647D"/>
    <w:rsid w:val="005D3310"/>
    <w:rsid w:val="005E02D4"/>
    <w:rsid w:val="005E0534"/>
    <w:rsid w:val="005E0983"/>
    <w:rsid w:val="005F0DE1"/>
    <w:rsid w:val="006036DC"/>
    <w:rsid w:val="00605E94"/>
    <w:rsid w:val="006135AE"/>
    <w:rsid w:val="00615410"/>
    <w:rsid w:val="00616B0B"/>
    <w:rsid w:val="006211C8"/>
    <w:rsid w:val="006265F9"/>
    <w:rsid w:val="00626D2B"/>
    <w:rsid w:val="00630E16"/>
    <w:rsid w:val="006343F1"/>
    <w:rsid w:val="0064115D"/>
    <w:rsid w:val="006455CD"/>
    <w:rsid w:val="00651F39"/>
    <w:rsid w:val="006527DE"/>
    <w:rsid w:val="006541F6"/>
    <w:rsid w:val="00662360"/>
    <w:rsid w:val="00670DB7"/>
    <w:rsid w:val="006717F3"/>
    <w:rsid w:val="00675F7D"/>
    <w:rsid w:val="0069054C"/>
    <w:rsid w:val="00691358"/>
    <w:rsid w:val="00694170"/>
    <w:rsid w:val="006958CF"/>
    <w:rsid w:val="006A34B5"/>
    <w:rsid w:val="006A44DF"/>
    <w:rsid w:val="006A6958"/>
    <w:rsid w:val="006B0E7C"/>
    <w:rsid w:val="006B1BFA"/>
    <w:rsid w:val="006B55B6"/>
    <w:rsid w:val="006B59F3"/>
    <w:rsid w:val="006B6619"/>
    <w:rsid w:val="006D01F7"/>
    <w:rsid w:val="006D6ED1"/>
    <w:rsid w:val="006D7AC1"/>
    <w:rsid w:val="006D7F68"/>
    <w:rsid w:val="006E0E54"/>
    <w:rsid w:val="006E2284"/>
    <w:rsid w:val="006F0AD2"/>
    <w:rsid w:val="006F5BC7"/>
    <w:rsid w:val="006F60EB"/>
    <w:rsid w:val="0070147B"/>
    <w:rsid w:val="00706AD1"/>
    <w:rsid w:val="00710679"/>
    <w:rsid w:val="00710A30"/>
    <w:rsid w:val="00710B74"/>
    <w:rsid w:val="00712602"/>
    <w:rsid w:val="00715A8D"/>
    <w:rsid w:val="00717024"/>
    <w:rsid w:val="00730185"/>
    <w:rsid w:val="0073086F"/>
    <w:rsid w:val="00744016"/>
    <w:rsid w:val="00745237"/>
    <w:rsid w:val="007549FC"/>
    <w:rsid w:val="00754BAF"/>
    <w:rsid w:val="00757745"/>
    <w:rsid w:val="007604CB"/>
    <w:rsid w:val="00761C08"/>
    <w:rsid w:val="00762CE0"/>
    <w:rsid w:val="00777D8B"/>
    <w:rsid w:val="0078053B"/>
    <w:rsid w:val="0078239C"/>
    <w:rsid w:val="0078513C"/>
    <w:rsid w:val="00786A90"/>
    <w:rsid w:val="00792182"/>
    <w:rsid w:val="00792D1E"/>
    <w:rsid w:val="007976A3"/>
    <w:rsid w:val="007A1556"/>
    <w:rsid w:val="007A20CB"/>
    <w:rsid w:val="007A4EFE"/>
    <w:rsid w:val="007B01A2"/>
    <w:rsid w:val="007B36B7"/>
    <w:rsid w:val="007B57E9"/>
    <w:rsid w:val="007B6C63"/>
    <w:rsid w:val="007C0879"/>
    <w:rsid w:val="007C3F59"/>
    <w:rsid w:val="007C5BF2"/>
    <w:rsid w:val="007C5EE4"/>
    <w:rsid w:val="007D0816"/>
    <w:rsid w:val="007D4FA3"/>
    <w:rsid w:val="007D5908"/>
    <w:rsid w:val="007E66E4"/>
    <w:rsid w:val="007E76A9"/>
    <w:rsid w:val="007F0F60"/>
    <w:rsid w:val="0080270A"/>
    <w:rsid w:val="00805264"/>
    <w:rsid w:val="00811BF5"/>
    <w:rsid w:val="00816C48"/>
    <w:rsid w:val="00817352"/>
    <w:rsid w:val="0082385D"/>
    <w:rsid w:val="008273B3"/>
    <w:rsid w:val="00830217"/>
    <w:rsid w:val="00832932"/>
    <w:rsid w:val="00837828"/>
    <w:rsid w:val="00845F22"/>
    <w:rsid w:val="00850F53"/>
    <w:rsid w:val="00855F92"/>
    <w:rsid w:val="00857D7A"/>
    <w:rsid w:val="00871381"/>
    <w:rsid w:val="00875ECA"/>
    <w:rsid w:val="00882426"/>
    <w:rsid w:val="00882BBC"/>
    <w:rsid w:val="00887656"/>
    <w:rsid w:val="008B3F15"/>
    <w:rsid w:val="008D2B2A"/>
    <w:rsid w:val="008D2D2B"/>
    <w:rsid w:val="008D2F05"/>
    <w:rsid w:val="008D444B"/>
    <w:rsid w:val="008E36D2"/>
    <w:rsid w:val="008F425B"/>
    <w:rsid w:val="009046E6"/>
    <w:rsid w:val="009163EA"/>
    <w:rsid w:val="009203B2"/>
    <w:rsid w:val="0092729D"/>
    <w:rsid w:val="00936BC6"/>
    <w:rsid w:val="00941C9B"/>
    <w:rsid w:val="00944836"/>
    <w:rsid w:val="0095661F"/>
    <w:rsid w:val="00960205"/>
    <w:rsid w:val="00961C7F"/>
    <w:rsid w:val="00967831"/>
    <w:rsid w:val="009701AC"/>
    <w:rsid w:val="00974AC5"/>
    <w:rsid w:val="00980783"/>
    <w:rsid w:val="009831DB"/>
    <w:rsid w:val="00990686"/>
    <w:rsid w:val="009A343A"/>
    <w:rsid w:val="009A6F92"/>
    <w:rsid w:val="009A7191"/>
    <w:rsid w:val="009B2718"/>
    <w:rsid w:val="009B4869"/>
    <w:rsid w:val="009B71D0"/>
    <w:rsid w:val="009C2722"/>
    <w:rsid w:val="009C4DAD"/>
    <w:rsid w:val="009C587C"/>
    <w:rsid w:val="009C6B1D"/>
    <w:rsid w:val="009C77BB"/>
    <w:rsid w:val="009C7881"/>
    <w:rsid w:val="009D017F"/>
    <w:rsid w:val="009D2E27"/>
    <w:rsid w:val="009D4444"/>
    <w:rsid w:val="009E1490"/>
    <w:rsid w:val="009E5D73"/>
    <w:rsid w:val="009E5D87"/>
    <w:rsid w:val="009E6233"/>
    <w:rsid w:val="009E6BFF"/>
    <w:rsid w:val="009F2494"/>
    <w:rsid w:val="009F38DE"/>
    <w:rsid w:val="009F6159"/>
    <w:rsid w:val="00A02D71"/>
    <w:rsid w:val="00A05D13"/>
    <w:rsid w:val="00A148CF"/>
    <w:rsid w:val="00A17964"/>
    <w:rsid w:val="00A22C40"/>
    <w:rsid w:val="00A270F7"/>
    <w:rsid w:val="00A352CC"/>
    <w:rsid w:val="00A3538C"/>
    <w:rsid w:val="00A36488"/>
    <w:rsid w:val="00A41CDF"/>
    <w:rsid w:val="00A556FD"/>
    <w:rsid w:val="00A56F06"/>
    <w:rsid w:val="00A6487A"/>
    <w:rsid w:val="00A727F8"/>
    <w:rsid w:val="00A73E53"/>
    <w:rsid w:val="00A77208"/>
    <w:rsid w:val="00A7795F"/>
    <w:rsid w:val="00A82866"/>
    <w:rsid w:val="00A84258"/>
    <w:rsid w:val="00A9181F"/>
    <w:rsid w:val="00A929FD"/>
    <w:rsid w:val="00A937D1"/>
    <w:rsid w:val="00A9625B"/>
    <w:rsid w:val="00A963D4"/>
    <w:rsid w:val="00A97528"/>
    <w:rsid w:val="00A979DB"/>
    <w:rsid w:val="00AA4F41"/>
    <w:rsid w:val="00AA530B"/>
    <w:rsid w:val="00AB3DE3"/>
    <w:rsid w:val="00AB4FCF"/>
    <w:rsid w:val="00AB5385"/>
    <w:rsid w:val="00AC05A3"/>
    <w:rsid w:val="00AD1B15"/>
    <w:rsid w:val="00AD2A8E"/>
    <w:rsid w:val="00AD35C7"/>
    <w:rsid w:val="00AD4371"/>
    <w:rsid w:val="00AE0374"/>
    <w:rsid w:val="00AE11D3"/>
    <w:rsid w:val="00AE1A2E"/>
    <w:rsid w:val="00AF465D"/>
    <w:rsid w:val="00AF49BB"/>
    <w:rsid w:val="00AF73D5"/>
    <w:rsid w:val="00AF7DDC"/>
    <w:rsid w:val="00B040FB"/>
    <w:rsid w:val="00B064B8"/>
    <w:rsid w:val="00B20315"/>
    <w:rsid w:val="00B20E69"/>
    <w:rsid w:val="00B26696"/>
    <w:rsid w:val="00B37C96"/>
    <w:rsid w:val="00B4294C"/>
    <w:rsid w:val="00B44777"/>
    <w:rsid w:val="00B46FE9"/>
    <w:rsid w:val="00B5049B"/>
    <w:rsid w:val="00B5260C"/>
    <w:rsid w:val="00B52751"/>
    <w:rsid w:val="00B53D14"/>
    <w:rsid w:val="00B62CCF"/>
    <w:rsid w:val="00B64159"/>
    <w:rsid w:val="00B83582"/>
    <w:rsid w:val="00B85476"/>
    <w:rsid w:val="00B85A02"/>
    <w:rsid w:val="00B86012"/>
    <w:rsid w:val="00B90EEF"/>
    <w:rsid w:val="00B946B7"/>
    <w:rsid w:val="00B95517"/>
    <w:rsid w:val="00B96F48"/>
    <w:rsid w:val="00BA1EC8"/>
    <w:rsid w:val="00BB2F11"/>
    <w:rsid w:val="00BB555B"/>
    <w:rsid w:val="00BB58C6"/>
    <w:rsid w:val="00BB5F41"/>
    <w:rsid w:val="00BC1EBD"/>
    <w:rsid w:val="00BC5366"/>
    <w:rsid w:val="00BD0A50"/>
    <w:rsid w:val="00BD1A62"/>
    <w:rsid w:val="00BD1CB9"/>
    <w:rsid w:val="00BD7C99"/>
    <w:rsid w:val="00BE1C0A"/>
    <w:rsid w:val="00BE3E3C"/>
    <w:rsid w:val="00BE7132"/>
    <w:rsid w:val="00BF6CFD"/>
    <w:rsid w:val="00C01A15"/>
    <w:rsid w:val="00C01A47"/>
    <w:rsid w:val="00C049A5"/>
    <w:rsid w:val="00C10F3D"/>
    <w:rsid w:val="00C1375A"/>
    <w:rsid w:val="00C16710"/>
    <w:rsid w:val="00C17A7A"/>
    <w:rsid w:val="00C20A32"/>
    <w:rsid w:val="00C25E81"/>
    <w:rsid w:val="00C31D2D"/>
    <w:rsid w:val="00C32B39"/>
    <w:rsid w:val="00C333DC"/>
    <w:rsid w:val="00C4562F"/>
    <w:rsid w:val="00C501C6"/>
    <w:rsid w:val="00C5330C"/>
    <w:rsid w:val="00C60615"/>
    <w:rsid w:val="00C70C45"/>
    <w:rsid w:val="00C7147D"/>
    <w:rsid w:val="00C740E6"/>
    <w:rsid w:val="00C75675"/>
    <w:rsid w:val="00C75BBD"/>
    <w:rsid w:val="00C765B8"/>
    <w:rsid w:val="00C77163"/>
    <w:rsid w:val="00C900D6"/>
    <w:rsid w:val="00C93B27"/>
    <w:rsid w:val="00CA02CE"/>
    <w:rsid w:val="00CA5A98"/>
    <w:rsid w:val="00CB0979"/>
    <w:rsid w:val="00CB7ED2"/>
    <w:rsid w:val="00CC0608"/>
    <w:rsid w:val="00CC46DD"/>
    <w:rsid w:val="00CC6186"/>
    <w:rsid w:val="00CD0A5B"/>
    <w:rsid w:val="00CD34CB"/>
    <w:rsid w:val="00CE0355"/>
    <w:rsid w:val="00CE13FD"/>
    <w:rsid w:val="00CE743B"/>
    <w:rsid w:val="00CF4A7B"/>
    <w:rsid w:val="00D0329A"/>
    <w:rsid w:val="00D0424A"/>
    <w:rsid w:val="00D04F0D"/>
    <w:rsid w:val="00D105CF"/>
    <w:rsid w:val="00D1113C"/>
    <w:rsid w:val="00D14F79"/>
    <w:rsid w:val="00D21579"/>
    <w:rsid w:val="00D22DE7"/>
    <w:rsid w:val="00D30F21"/>
    <w:rsid w:val="00D316C8"/>
    <w:rsid w:val="00D45A2B"/>
    <w:rsid w:val="00D53BC4"/>
    <w:rsid w:val="00D5651A"/>
    <w:rsid w:val="00D64EA4"/>
    <w:rsid w:val="00D6568D"/>
    <w:rsid w:val="00D6780D"/>
    <w:rsid w:val="00D71EFD"/>
    <w:rsid w:val="00D72961"/>
    <w:rsid w:val="00D72F68"/>
    <w:rsid w:val="00D75545"/>
    <w:rsid w:val="00D85BF4"/>
    <w:rsid w:val="00D87B13"/>
    <w:rsid w:val="00D90BB0"/>
    <w:rsid w:val="00D91950"/>
    <w:rsid w:val="00D9260D"/>
    <w:rsid w:val="00D9599C"/>
    <w:rsid w:val="00DB2DA1"/>
    <w:rsid w:val="00DB6264"/>
    <w:rsid w:val="00DC3FB6"/>
    <w:rsid w:val="00DC4DC2"/>
    <w:rsid w:val="00DC67F2"/>
    <w:rsid w:val="00DD0E37"/>
    <w:rsid w:val="00DD11E3"/>
    <w:rsid w:val="00DD2031"/>
    <w:rsid w:val="00DE1C04"/>
    <w:rsid w:val="00DE273F"/>
    <w:rsid w:val="00E00253"/>
    <w:rsid w:val="00E00F8F"/>
    <w:rsid w:val="00E03A63"/>
    <w:rsid w:val="00E04216"/>
    <w:rsid w:val="00E11A62"/>
    <w:rsid w:val="00E130B7"/>
    <w:rsid w:val="00E15576"/>
    <w:rsid w:val="00E17E04"/>
    <w:rsid w:val="00E25BE5"/>
    <w:rsid w:val="00E30EDA"/>
    <w:rsid w:val="00E334F2"/>
    <w:rsid w:val="00E44B74"/>
    <w:rsid w:val="00E44E16"/>
    <w:rsid w:val="00E51E9F"/>
    <w:rsid w:val="00E62AC7"/>
    <w:rsid w:val="00E63761"/>
    <w:rsid w:val="00E646CB"/>
    <w:rsid w:val="00E74C77"/>
    <w:rsid w:val="00E770CD"/>
    <w:rsid w:val="00E83191"/>
    <w:rsid w:val="00E83651"/>
    <w:rsid w:val="00E9228E"/>
    <w:rsid w:val="00E924AC"/>
    <w:rsid w:val="00EA128F"/>
    <w:rsid w:val="00EA7CF8"/>
    <w:rsid w:val="00EB699A"/>
    <w:rsid w:val="00EB7F5E"/>
    <w:rsid w:val="00EC2A1F"/>
    <w:rsid w:val="00EC3EE5"/>
    <w:rsid w:val="00EC4AD8"/>
    <w:rsid w:val="00EE62B3"/>
    <w:rsid w:val="00EE7532"/>
    <w:rsid w:val="00EF2ACC"/>
    <w:rsid w:val="00F02D50"/>
    <w:rsid w:val="00F06ADD"/>
    <w:rsid w:val="00F074C7"/>
    <w:rsid w:val="00F21336"/>
    <w:rsid w:val="00F21B92"/>
    <w:rsid w:val="00F21D26"/>
    <w:rsid w:val="00F2496A"/>
    <w:rsid w:val="00F300DB"/>
    <w:rsid w:val="00F32E52"/>
    <w:rsid w:val="00F36F4E"/>
    <w:rsid w:val="00F410B0"/>
    <w:rsid w:val="00F50D01"/>
    <w:rsid w:val="00F54F3F"/>
    <w:rsid w:val="00F636B2"/>
    <w:rsid w:val="00F6701A"/>
    <w:rsid w:val="00F70D4D"/>
    <w:rsid w:val="00F76A3A"/>
    <w:rsid w:val="00F779DD"/>
    <w:rsid w:val="00F77D85"/>
    <w:rsid w:val="00F826AF"/>
    <w:rsid w:val="00F93202"/>
    <w:rsid w:val="00F96CB3"/>
    <w:rsid w:val="00FA0E48"/>
    <w:rsid w:val="00FA32D8"/>
    <w:rsid w:val="00FA3C67"/>
    <w:rsid w:val="00FA4B3D"/>
    <w:rsid w:val="00FA7FA4"/>
    <w:rsid w:val="00FB1D85"/>
    <w:rsid w:val="00FB44A9"/>
    <w:rsid w:val="00FB4D58"/>
    <w:rsid w:val="00FB6A54"/>
    <w:rsid w:val="00FC217C"/>
    <w:rsid w:val="00FC78E1"/>
    <w:rsid w:val="00FD568A"/>
    <w:rsid w:val="00FE3EA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93"/>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UnresolvedMention">
    <w:name w:val="Unresolved Mention"/>
    <w:basedOn w:val="Fontepargpadro"/>
    <w:uiPriority w:val="99"/>
    <w:semiHidden/>
    <w:unhideWhenUsed/>
    <w:rsid w:val="00670DB7"/>
    <w:rPr>
      <w:color w:val="605E5C"/>
      <w:shd w:val="clear" w:color="auto" w:fill="E1DFDD"/>
    </w:rPr>
  </w:style>
  <w:style w:type="paragraph" w:styleId="NormalWeb">
    <w:name w:val="Normal (Web)"/>
    <w:basedOn w:val="Normal"/>
    <w:uiPriority w:val="99"/>
    <w:semiHidden/>
    <w:unhideWhenUsed/>
    <w:rsid w:val="009E5D7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E5D73"/>
    <w:rPr>
      <w:b/>
      <w:bCs/>
    </w:rPr>
  </w:style>
  <w:style w:type="character" w:styleId="nfase">
    <w:name w:val="Emphasis"/>
    <w:basedOn w:val="Fontepargpadro"/>
    <w:uiPriority w:val="20"/>
    <w:qFormat/>
    <w:rsid w:val="009E5D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93"/>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UnresolvedMention">
    <w:name w:val="Unresolved Mention"/>
    <w:basedOn w:val="Fontepargpadro"/>
    <w:uiPriority w:val="99"/>
    <w:semiHidden/>
    <w:unhideWhenUsed/>
    <w:rsid w:val="00670DB7"/>
    <w:rPr>
      <w:color w:val="605E5C"/>
      <w:shd w:val="clear" w:color="auto" w:fill="E1DFDD"/>
    </w:rPr>
  </w:style>
  <w:style w:type="paragraph" w:styleId="NormalWeb">
    <w:name w:val="Normal (Web)"/>
    <w:basedOn w:val="Normal"/>
    <w:uiPriority w:val="99"/>
    <w:semiHidden/>
    <w:unhideWhenUsed/>
    <w:rsid w:val="009E5D7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E5D73"/>
    <w:rPr>
      <w:b/>
      <w:bCs/>
    </w:rPr>
  </w:style>
  <w:style w:type="character" w:styleId="nfase">
    <w:name w:val="Emphasis"/>
    <w:basedOn w:val="Fontepargpadro"/>
    <w:uiPriority w:val="20"/>
    <w:qFormat/>
    <w:rsid w:val="009E5D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127">
      <w:bodyDiv w:val="1"/>
      <w:marLeft w:val="0"/>
      <w:marRight w:val="0"/>
      <w:marTop w:val="0"/>
      <w:marBottom w:val="0"/>
      <w:divBdr>
        <w:top w:val="none" w:sz="0" w:space="0" w:color="auto"/>
        <w:left w:val="none" w:sz="0" w:space="0" w:color="auto"/>
        <w:bottom w:val="none" w:sz="0" w:space="0" w:color="auto"/>
        <w:right w:val="none" w:sz="0" w:space="0" w:color="auto"/>
      </w:divBdr>
    </w:div>
    <w:div w:id="97532528">
      <w:bodyDiv w:val="1"/>
      <w:marLeft w:val="0"/>
      <w:marRight w:val="0"/>
      <w:marTop w:val="0"/>
      <w:marBottom w:val="0"/>
      <w:divBdr>
        <w:top w:val="none" w:sz="0" w:space="0" w:color="auto"/>
        <w:left w:val="none" w:sz="0" w:space="0" w:color="auto"/>
        <w:bottom w:val="none" w:sz="0" w:space="0" w:color="auto"/>
        <w:right w:val="none" w:sz="0" w:space="0" w:color="auto"/>
      </w:divBdr>
    </w:div>
    <w:div w:id="325859915">
      <w:bodyDiv w:val="1"/>
      <w:marLeft w:val="0"/>
      <w:marRight w:val="0"/>
      <w:marTop w:val="0"/>
      <w:marBottom w:val="0"/>
      <w:divBdr>
        <w:top w:val="none" w:sz="0" w:space="0" w:color="auto"/>
        <w:left w:val="none" w:sz="0" w:space="0" w:color="auto"/>
        <w:bottom w:val="none" w:sz="0" w:space="0" w:color="auto"/>
        <w:right w:val="none" w:sz="0" w:space="0" w:color="auto"/>
      </w:divBdr>
    </w:div>
    <w:div w:id="326713263">
      <w:bodyDiv w:val="1"/>
      <w:marLeft w:val="0"/>
      <w:marRight w:val="0"/>
      <w:marTop w:val="0"/>
      <w:marBottom w:val="0"/>
      <w:divBdr>
        <w:top w:val="none" w:sz="0" w:space="0" w:color="auto"/>
        <w:left w:val="none" w:sz="0" w:space="0" w:color="auto"/>
        <w:bottom w:val="none" w:sz="0" w:space="0" w:color="auto"/>
        <w:right w:val="none" w:sz="0" w:space="0" w:color="auto"/>
      </w:divBdr>
    </w:div>
    <w:div w:id="1101725853">
      <w:bodyDiv w:val="1"/>
      <w:marLeft w:val="0"/>
      <w:marRight w:val="0"/>
      <w:marTop w:val="0"/>
      <w:marBottom w:val="0"/>
      <w:divBdr>
        <w:top w:val="none" w:sz="0" w:space="0" w:color="auto"/>
        <w:left w:val="none" w:sz="0" w:space="0" w:color="auto"/>
        <w:bottom w:val="none" w:sz="0" w:space="0" w:color="auto"/>
        <w:right w:val="none" w:sz="0" w:space="0" w:color="auto"/>
      </w:divBdr>
    </w:div>
    <w:div w:id="1164248704">
      <w:bodyDiv w:val="1"/>
      <w:marLeft w:val="0"/>
      <w:marRight w:val="0"/>
      <w:marTop w:val="0"/>
      <w:marBottom w:val="0"/>
      <w:divBdr>
        <w:top w:val="none" w:sz="0" w:space="0" w:color="auto"/>
        <w:left w:val="none" w:sz="0" w:space="0" w:color="auto"/>
        <w:bottom w:val="none" w:sz="0" w:space="0" w:color="auto"/>
        <w:right w:val="none" w:sz="0" w:space="0" w:color="auto"/>
      </w:divBdr>
    </w:div>
    <w:div w:id="1298681122">
      <w:bodyDiv w:val="1"/>
      <w:marLeft w:val="0"/>
      <w:marRight w:val="0"/>
      <w:marTop w:val="0"/>
      <w:marBottom w:val="0"/>
      <w:divBdr>
        <w:top w:val="none" w:sz="0" w:space="0" w:color="auto"/>
        <w:left w:val="none" w:sz="0" w:space="0" w:color="auto"/>
        <w:bottom w:val="none" w:sz="0" w:space="0" w:color="auto"/>
        <w:right w:val="none" w:sz="0" w:space="0" w:color="auto"/>
      </w:divBdr>
    </w:div>
    <w:div w:id="1361398576">
      <w:bodyDiv w:val="1"/>
      <w:marLeft w:val="0"/>
      <w:marRight w:val="0"/>
      <w:marTop w:val="0"/>
      <w:marBottom w:val="0"/>
      <w:divBdr>
        <w:top w:val="none" w:sz="0" w:space="0" w:color="auto"/>
        <w:left w:val="none" w:sz="0" w:space="0" w:color="auto"/>
        <w:bottom w:val="none" w:sz="0" w:space="0" w:color="auto"/>
        <w:right w:val="none" w:sz="0" w:space="0" w:color="auto"/>
      </w:divBdr>
    </w:div>
    <w:div w:id="14295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ABILIDADE\Downloads\Modelo%20-%20OF&#205;CIO%202021%20(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0699-E3E9-4BF3-880B-2FE2448E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OFÍCIO 2021 (4)</Template>
  <TotalTime>0</TotalTime>
  <Pages>5</Pages>
  <Words>1135</Words>
  <Characters>6132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Camara</dc:creator>
  <cp:lastModifiedBy>CLIENTE</cp:lastModifiedBy>
  <cp:revision>2</cp:revision>
  <cp:lastPrinted>2022-06-07T14:00:00Z</cp:lastPrinted>
  <dcterms:created xsi:type="dcterms:W3CDTF">2022-06-07T14:14:00Z</dcterms:created>
  <dcterms:modified xsi:type="dcterms:W3CDTF">2022-06-07T14:14:00Z</dcterms:modified>
</cp:coreProperties>
</file>