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59" w:rsidRDefault="00E87113" w:rsidP="009F6159">
      <w:pPr>
        <w:spacing w:before="240" w:after="36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Parecer contábil N. º 007</w:t>
      </w:r>
      <w:r w:rsidR="009F6159">
        <w:rPr>
          <w:rFonts w:ascii="Calibri" w:eastAsia="Calibri" w:hAnsi="Calibri" w:cs="Calibri"/>
          <w:b/>
          <w:sz w:val="24"/>
        </w:rPr>
        <w:t>/2022</w:t>
      </w:r>
      <w:r w:rsidR="009F6159">
        <w:rPr>
          <w:rFonts w:ascii="Calibri" w:eastAsia="Calibri" w:hAnsi="Calibri" w:cs="Calibri"/>
          <w:sz w:val="24"/>
        </w:rPr>
        <w:tab/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Aos membros da</w:t>
      </w:r>
    </w:p>
    <w:p w:rsidR="009F6159" w:rsidRDefault="009F6159" w:rsidP="009F6159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Comissão de Finanças, Orçamento e Tomadas de </w:t>
      </w:r>
      <w:proofErr w:type="gramStart"/>
      <w:r>
        <w:rPr>
          <w:rFonts w:ascii="Calibri" w:eastAsia="Calibri" w:hAnsi="Calibri" w:cs="Calibri"/>
          <w:i/>
          <w:sz w:val="24"/>
        </w:rPr>
        <w:t>Contas</w:t>
      </w:r>
      <w:proofErr w:type="gramEnd"/>
    </w:p>
    <w:p w:rsidR="009F6159" w:rsidRDefault="009F6159" w:rsidP="004633FF">
      <w:pPr>
        <w:spacing w:after="0" w:line="360" w:lineRule="auto"/>
        <w:rPr>
          <w:rFonts w:ascii="Calibri" w:eastAsia="Calibri" w:hAnsi="Calibri" w:cs="Calibri"/>
          <w:sz w:val="24"/>
        </w:rPr>
      </w:pPr>
    </w:p>
    <w:p w:rsidR="009F6159" w:rsidRDefault="009F6159" w:rsidP="009F6159">
      <w:pPr>
        <w:spacing w:after="0" w:line="36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Assunto: Parec</w:t>
      </w:r>
      <w:r w:rsidR="006634A3">
        <w:rPr>
          <w:rFonts w:ascii="Calibri" w:eastAsia="Calibri" w:hAnsi="Calibri" w:cs="Calibri"/>
          <w:b/>
          <w:sz w:val="24"/>
        </w:rPr>
        <w:t>er Contábil ao Projeto de Lei 26</w:t>
      </w:r>
      <w:r>
        <w:rPr>
          <w:rFonts w:ascii="Calibri" w:eastAsia="Calibri" w:hAnsi="Calibri" w:cs="Calibri"/>
          <w:b/>
          <w:sz w:val="24"/>
        </w:rPr>
        <w:t>/2022,</w:t>
      </w:r>
      <w:r w:rsidR="006634A3">
        <w:rPr>
          <w:rFonts w:ascii="Calibri" w:eastAsia="Calibri" w:hAnsi="Calibri" w:cs="Calibri"/>
          <w:b/>
          <w:sz w:val="24"/>
        </w:rPr>
        <w:t xml:space="preserve"> relativo </w:t>
      </w:r>
      <w:proofErr w:type="gramStart"/>
      <w:r w:rsidR="006634A3">
        <w:rPr>
          <w:rFonts w:ascii="Calibri" w:eastAsia="Calibri" w:hAnsi="Calibri" w:cs="Calibri"/>
          <w:b/>
          <w:sz w:val="24"/>
        </w:rPr>
        <w:t>a</w:t>
      </w:r>
      <w:proofErr w:type="gramEnd"/>
      <w:r w:rsidR="006634A3">
        <w:rPr>
          <w:rFonts w:ascii="Calibri" w:eastAsia="Calibri" w:hAnsi="Calibri" w:cs="Calibri"/>
          <w:b/>
          <w:sz w:val="24"/>
        </w:rPr>
        <w:t xml:space="preserve"> abertura de Crédito A</w:t>
      </w:r>
      <w:r>
        <w:rPr>
          <w:rFonts w:ascii="Calibri" w:eastAsia="Calibri" w:hAnsi="Calibri" w:cs="Calibri"/>
          <w:b/>
          <w:sz w:val="24"/>
        </w:rPr>
        <w:t>diciona</w:t>
      </w:r>
      <w:r w:rsidR="006634A3">
        <w:rPr>
          <w:rFonts w:ascii="Calibri" w:eastAsia="Calibri" w:hAnsi="Calibri" w:cs="Calibri"/>
          <w:b/>
          <w:sz w:val="24"/>
        </w:rPr>
        <w:t>l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634A3">
        <w:rPr>
          <w:rFonts w:ascii="Calibri" w:eastAsia="Calibri" w:hAnsi="Calibri" w:cs="Calibri"/>
          <w:b/>
          <w:sz w:val="24"/>
        </w:rPr>
        <w:t>Especial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634A3">
        <w:rPr>
          <w:rFonts w:ascii="Calibri" w:eastAsia="Calibri" w:hAnsi="Calibri" w:cs="Calibri"/>
          <w:b/>
          <w:sz w:val="24"/>
        </w:rPr>
        <w:t>no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6634A3">
        <w:rPr>
          <w:rFonts w:ascii="Calibri" w:eastAsia="Calibri" w:hAnsi="Calibri" w:cs="Calibri"/>
          <w:b/>
          <w:sz w:val="24"/>
        </w:rPr>
        <w:t>valor de R$ 430.000,00 e da outras providências.</w:t>
      </w:r>
    </w:p>
    <w:p w:rsidR="004633FF" w:rsidRDefault="004633FF" w:rsidP="009F6159">
      <w:pPr>
        <w:spacing w:after="0" w:line="276" w:lineRule="auto"/>
        <w:ind w:firstLine="1276"/>
        <w:jc w:val="both"/>
        <w:rPr>
          <w:rFonts w:ascii="Calibri" w:eastAsia="Calibri" w:hAnsi="Calibri" w:cs="Calibri"/>
          <w:sz w:val="24"/>
        </w:rPr>
      </w:pP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Trata-se de consulta formulada pela Comissão de Finanças, Orçamento e Tomadas de Contas da Câmara Municipal de Bom Jardim de Minas, em</w:t>
      </w:r>
      <w:r w:rsidR="006634A3">
        <w:rPr>
          <w:rFonts w:ascii="Calibri" w:eastAsia="Calibri" w:hAnsi="Calibri" w:cs="Calibri"/>
          <w:sz w:val="24"/>
          <w:szCs w:val="24"/>
        </w:rPr>
        <w:t xml:space="preserve"> relação ao Projeto de Lei 26</w:t>
      </w:r>
      <w:r w:rsidRPr="004633FF">
        <w:rPr>
          <w:rFonts w:ascii="Calibri" w:eastAsia="Calibri" w:hAnsi="Calibri" w:cs="Calibri"/>
          <w:sz w:val="24"/>
          <w:szCs w:val="24"/>
        </w:rPr>
        <w:t>/2022, que dispõe sobre a</w:t>
      </w:r>
      <w:r w:rsidR="006634A3" w:rsidRPr="006634A3">
        <w:rPr>
          <w:rFonts w:ascii="Calibri" w:eastAsia="Calibri" w:hAnsi="Calibri" w:cs="Calibri"/>
          <w:sz w:val="24"/>
        </w:rPr>
        <w:t xml:space="preserve"> abertura de Crédito Adicional Especial no valor de R$ 430.000,00</w:t>
      </w:r>
      <w:r w:rsidRPr="004633FF">
        <w:rPr>
          <w:rFonts w:ascii="Calibri" w:eastAsia="Calibri" w:hAnsi="Calibri" w:cs="Calibri"/>
          <w:sz w:val="24"/>
          <w:szCs w:val="24"/>
        </w:rPr>
        <w:t xml:space="preserve">. </w:t>
      </w: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 xml:space="preserve">É importante ressaltar que o presente parecer contábil possui como escopo a apresentação de aspectos </w:t>
      </w:r>
      <w:proofErr w:type="gramStart"/>
      <w:r w:rsidRPr="004633FF">
        <w:rPr>
          <w:rFonts w:ascii="Calibri" w:eastAsia="Calibri" w:hAnsi="Calibri" w:cs="Calibri"/>
          <w:sz w:val="24"/>
          <w:szCs w:val="24"/>
        </w:rPr>
        <w:t>técnicos-contábeis</w:t>
      </w:r>
      <w:proofErr w:type="gramEnd"/>
      <w:r w:rsidRPr="004633FF">
        <w:rPr>
          <w:rFonts w:ascii="Calibri" w:eastAsia="Calibri" w:hAnsi="Calibri" w:cs="Calibri"/>
          <w:sz w:val="24"/>
          <w:szCs w:val="24"/>
        </w:rPr>
        <w:t xml:space="preserve"> e dos pressupostos formais inerentes ao ato, não possui força vinculante, ficando a cargo dos Nobres Vereadores, a atenta análise dos dados para emissão do parecer da comissão e votação do projeto.</w:t>
      </w: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 xml:space="preserve">A análise constante </w:t>
      </w:r>
      <w:proofErr w:type="gramStart"/>
      <w:r w:rsidRPr="004633FF">
        <w:rPr>
          <w:rFonts w:ascii="Calibri" w:eastAsia="Calibri" w:hAnsi="Calibri" w:cs="Calibri"/>
          <w:sz w:val="24"/>
          <w:szCs w:val="24"/>
        </w:rPr>
        <w:t>deste parecer</w:t>
      </w:r>
      <w:proofErr w:type="gramEnd"/>
      <w:r w:rsidRPr="004633FF">
        <w:rPr>
          <w:rFonts w:ascii="Calibri" w:eastAsia="Calibri" w:hAnsi="Calibri" w:cs="Calibri"/>
          <w:sz w:val="24"/>
          <w:szCs w:val="24"/>
        </w:rPr>
        <w:t xml:space="preserve"> contábil toma por base os documentos instruídos </w:t>
      </w:r>
      <w:proofErr w:type="gramStart"/>
      <w:r w:rsidRPr="004633FF">
        <w:rPr>
          <w:rFonts w:ascii="Calibri" w:eastAsia="Calibri" w:hAnsi="Calibri" w:cs="Calibri"/>
          <w:sz w:val="24"/>
          <w:szCs w:val="24"/>
        </w:rPr>
        <w:t>nos</w:t>
      </w:r>
      <w:proofErr w:type="gramEnd"/>
      <w:r w:rsidRPr="004633FF">
        <w:rPr>
          <w:rFonts w:ascii="Calibri" w:eastAsia="Calibri" w:hAnsi="Calibri" w:cs="Calibri"/>
          <w:sz w:val="24"/>
          <w:szCs w:val="24"/>
        </w:rPr>
        <w:t xml:space="preserve"> autos, haja vista a presunção de veracidade e legitimidade das informações e documentos apresentados pelo órgão consulente. </w:t>
      </w:r>
    </w:p>
    <w:p w:rsidR="009F6159" w:rsidRPr="006634A3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Passando a análise técnica do projeto, temos que os</w:t>
      </w:r>
      <w:r w:rsidR="006634A3">
        <w:rPr>
          <w:rFonts w:ascii="Calibri" w:eastAsia="Calibri" w:hAnsi="Calibri" w:cs="Calibri"/>
          <w:sz w:val="24"/>
          <w:szCs w:val="24"/>
        </w:rPr>
        <w:t xml:space="preserve"> crédito</w:t>
      </w:r>
      <w:r>
        <w:rPr>
          <w:rFonts w:ascii="Calibri" w:eastAsia="Calibri" w:hAnsi="Calibri" w:cs="Calibri"/>
          <w:sz w:val="24"/>
          <w:szCs w:val="24"/>
        </w:rPr>
        <w:t>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adicionais especiais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são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</w:t>
      </w:r>
      <w:r w:rsidR="006634A3">
        <w:rPr>
          <w:rFonts w:ascii="Calibri" w:eastAsia="Calibri" w:hAnsi="Calibri" w:cs="Calibri"/>
          <w:sz w:val="24"/>
          <w:szCs w:val="24"/>
        </w:rPr>
        <w:t>destinado</w:t>
      </w:r>
      <w:r>
        <w:rPr>
          <w:rFonts w:ascii="Calibri" w:eastAsia="Calibri" w:hAnsi="Calibri" w:cs="Calibri"/>
          <w:sz w:val="24"/>
          <w:szCs w:val="24"/>
        </w:rPr>
        <w:t>s</w:t>
      </w:r>
      <w:r w:rsidR="006634A3">
        <w:rPr>
          <w:rFonts w:ascii="Calibri" w:eastAsia="Calibri" w:hAnsi="Calibri" w:cs="Calibri"/>
          <w:sz w:val="24"/>
          <w:szCs w:val="24"/>
        </w:rPr>
        <w:t xml:space="preserve"> </w:t>
      </w:r>
      <w:r w:rsidR="006634A3" w:rsidRPr="006634A3">
        <w:rPr>
          <w:rFonts w:ascii="Calibri" w:eastAsia="Calibri" w:hAnsi="Calibri" w:cs="Calibri"/>
          <w:sz w:val="24"/>
          <w:szCs w:val="24"/>
        </w:rPr>
        <w:t>a despesas para as quais não haja dotação orçamentária específica</w:t>
      </w:r>
      <w:r w:rsidR="006634A3">
        <w:rPr>
          <w:rFonts w:ascii="Calibri" w:eastAsia="Calibri" w:hAnsi="Calibri" w:cs="Calibri"/>
          <w:sz w:val="24"/>
          <w:szCs w:val="24"/>
        </w:rPr>
        <w:t xml:space="preserve"> prevista na Lei Orçamentária Anual. </w:t>
      </w:r>
      <w:r w:rsidR="006634A3" w:rsidRPr="006634A3">
        <w:rPr>
          <w:rFonts w:ascii="Calibri" w:eastAsia="Calibri" w:hAnsi="Calibri" w:cs="Calibri"/>
          <w:sz w:val="24"/>
          <w:szCs w:val="24"/>
        </w:rPr>
        <w:t>E</w:t>
      </w:r>
      <w:r w:rsidR="009F6159" w:rsidRPr="006634A3">
        <w:rPr>
          <w:rFonts w:ascii="Calibri" w:eastAsia="Calibri" w:hAnsi="Calibri" w:cs="Calibri"/>
          <w:sz w:val="24"/>
          <w:szCs w:val="24"/>
        </w:rPr>
        <w:t>sta modalidade de crédito adicional depende de prévia autorização legislativa, por força do princípio da legal</w:t>
      </w:r>
      <w:r>
        <w:rPr>
          <w:rFonts w:ascii="Calibri" w:eastAsia="Calibri" w:hAnsi="Calibri" w:cs="Calibri"/>
          <w:sz w:val="24"/>
          <w:szCs w:val="24"/>
        </w:rPr>
        <w:t>idade das despesas previsto no A</w:t>
      </w:r>
      <w:r w:rsidR="009F6159" w:rsidRPr="006634A3">
        <w:rPr>
          <w:rFonts w:ascii="Calibri" w:eastAsia="Calibri" w:hAnsi="Calibri" w:cs="Calibri"/>
          <w:sz w:val="24"/>
          <w:szCs w:val="24"/>
        </w:rPr>
        <w:t xml:space="preserve">rt. 167, inciso V da CF, </w:t>
      </w:r>
      <w:r w:rsidR="009F6159" w:rsidRPr="006634A3">
        <w:rPr>
          <w:rFonts w:ascii="Calibri" w:eastAsia="Calibri" w:hAnsi="Calibri" w:cs="Calibri"/>
          <w:i/>
          <w:sz w:val="24"/>
          <w:szCs w:val="24"/>
        </w:rPr>
        <w:t xml:space="preserve">in </w:t>
      </w:r>
      <w:proofErr w:type="spellStart"/>
      <w:r w:rsidR="009F6159" w:rsidRPr="006634A3">
        <w:rPr>
          <w:rFonts w:ascii="Calibri" w:eastAsia="Calibri" w:hAnsi="Calibri" w:cs="Calibri"/>
          <w:i/>
          <w:sz w:val="24"/>
          <w:szCs w:val="24"/>
        </w:rPr>
        <w:t>verbis</w:t>
      </w:r>
      <w:proofErr w:type="spellEnd"/>
      <w:r w:rsidR="009F6159" w:rsidRPr="006634A3">
        <w:rPr>
          <w:rFonts w:ascii="Calibri" w:eastAsia="Calibri" w:hAnsi="Calibri" w:cs="Calibri"/>
          <w:sz w:val="24"/>
          <w:szCs w:val="24"/>
        </w:rPr>
        <w:t xml:space="preserve">: </w:t>
      </w:r>
    </w:p>
    <w:p w:rsidR="009F6159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Art. 167. São vedados: </w:t>
      </w:r>
    </w:p>
    <w:p w:rsidR="006B41B2" w:rsidRDefault="006B41B2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9F6159" w:rsidRPr="004633FF" w:rsidRDefault="009F615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4633FF">
        <w:rPr>
          <w:rFonts w:ascii="Calibri" w:eastAsia="Calibri" w:hAnsi="Calibri" w:cs="Calibri"/>
          <w:i/>
          <w:sz w:val="24"/>
          <w:szCs w:val="24"/>
        </w:rPr>
        <w:t xml:space="preserve">V - a abertura de crédito suplementar ou especial sem prévia autorização legislativa e sem indicação dos recursos correspondentes. </w:t>
      </w:r>
    </w:p>
    <w:p w:rsidR="001809C9" w:rsidRPr="004633FF" w:rsidRDefault="001809C9" w:rsidP="009F6159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abertura de Crédito Adicional Especial conforme pretende o Executivo Municipal por meio do Projeto de Lei nº 26/2022, está previsto no Art. 41, inciso II da Lei Federal 4</w:t>
      </w:r>
      <w:r w:rsidR="00C906FA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320/1964, onde </w:t>
      </w:r>
      <w:proofErr w:type="gramStart"/>
      <w:r>
        <w:rPr>
          <w:rFonts w:ascii="Calibri" w:eastAsia="Calibri" w:hAnsi="Calibri" w:cs="Calibri"/>
          <w:sz w:val="24"/>
          <w:szCs w:val="24"/>
        </w:rPr>
        <w:t>encontra-se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expresso a possibilidade de inclusão de créditos destinados a suprir despesas para as quais não haja dotação orçamentária específica.</w:t>
      </w: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mesma norma citada acima prevê em seu Art. 42 que para realização de crédito adicional faz-se necessário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autorização legislativa, em conformidade com Art. 167 da CF/88.</w:t>
      </w: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Já o Art. 43, faz menção expressa das condições para o crédito adicional especial, citando a necessidade de comprovação da existência de recursos financeiros disponíveis para ocorrer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despesa e da prévia exposição de justificativa.</w:t>
      </w: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suprir este requisito foi encaminhado, anexo ao Projeto de Lei em análise, o resumo das fontes de recurso que serão utilizadas, com a finalidade de comprovação da existência de recursos financeiros, porém este não contém data.</w:t>
      </w: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 relação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justificativa, no que diz respeito ao objetivo, se observa uma descrição genérica, não esclarece de maneira específica, não faz referência ao prédio que receberá a benfeitoria, nem ao tipo de benfeitoria para que os Nobres Vereadores possam verificar o real interesse público da propositura.</w:t>
      </w:r>
    </w:p>
    <w:p w:rsidR="006B41B2" w:rsidRDefault="006B41B2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Art. 1 do projeto elenca a conta orçamentária que receberá o recurso orçamentário, e o Art. 2 apresenta o Superávit Financeiro apurado no Balanço Patrimonial do exercício anterior, como fonte de recurso para atender o prescrito no Art. 1. Estes artigos </w:t>
      </w:r>
      <w:proofErr w:type="gramStart"/>
      <w:r>
        <w:rPr>
          <w:rFonts w:ascii="Calibri" w:eastAsia="Calibri" w:hAnsi="Calibri" w:cs="Calibri"/>
          <w:sz w:val="24"/>
          <w:szCs w:val="24"/>
        </w:rPr>
        <w:t>encontram-se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 harmonia com o descrito no Art. 43, §1º, inciso I, e também com o expresso no Art. 46, da Lei Federal nº 4320/1964, </w:t>
      </w:r>
      <w:r w:rsidRPr="006B41B2">
        <w:rPr>
          <w:rFonts w:ascii="Calibri" w:eastAsia="Calibri" w:hAnsi="Calibri" w:cs="Calibri"/>
          <w:i/>
          <w:sz w:val="24"/>
          <w:szCs w:val="24"/>
        </w:rPr>
        <w:t xml:space="preserve">in </w:t>
      </w:r>
      <w:proofErr w:type="spellStart"/>
      <w:r w:rsidRPr="006B41B2">
        <w:rPr>
          <w:rFonts w:ascii="Calibri" w:eastAsia="Calibri" w:hAnsi="Calibri" w:cs="Calibri"/>
          <w:i/>
          <w:sz w:val="24"/>
          <w:szCs w:val="24"/>
        </w:rPr>
        <w:t>verbis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6B41B2" w:rsidRDefault="006B41B2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41B2" w:rsidRDefault="006B41B2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41B2" w:rsidRPr="00FF005A" w:rsidRDefault="006B41B2" w:rsidP="00FF005A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6B41B2">
        <w:rPr>
          <w:rFonts w:ascii="Calibri" w:eastAsia="Calibri" w:hAnsi="Calibri" w:cs="Calibri"/>
          <w:i/>
          <w:sz w:val="24"/>
          <w:szCs w:val="24"/>
        </w:rPr>
        <w:t>Art. 46. O ato que abrir crédito adicional indicará a importância, a espécie do mesmo e a classificação da despesa, até onde for possível.</w:t>
      </w:r>
    </w:p>
    <w:p w:rsidR="00C906FA" w:rsidRDefault="00C906FA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Ressalta-se que dotação orçamentária se refere a crédito orçamentário, ou simplesmente crédito, correspondendo ao limite legal para a realização da despesa pública. É, portanto, na dotação que se controla o valor da despesa que o gestor público ainda poderá realizar.</w:t>
      </w:r>
    </w:p>
    <w:p w:rsidR="004E246D" w:rsidRDefault="004E246D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importante esclarecer que os dispositivos legais mencionados neste parecer conferem o necessário suporte para a realização de abertura de créditos adicionais especiais para suprir gastos desprovidos da correspondente dotação orçamentária.</w:t>
      </w:r>
    </w:p>
    <w:p w:rsidR="004E246D" w:rsidRDefault="004E246D" w:rsidP="004E246D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Assim, toda vez </w:t>
      </w:r>
      <w:proofErr w:type="gramStart"/>
      <w:r>
        <w:rPr>
          <w:rFonts w:ascii="Calibri" w:eastAsia="Calibri" w:hAnsi="Calibri" w:cs="Calibri"/>
          <w:sz w:val="24"/>
          <w:szCs w:val="24"/>
        </w:rPr>
        <w:t>que que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ficar constatada a inexistência ou a insuficiência orçamentária para atender determinada despesa, o executivo terá a iniciativa das leis que autorizem os créditos adicionais, especiais ou suplementares e, posteriormente sua aprovação pelo Legislativo, para então poder efetivar sua abertura por decreto.</w:t>
      </w:r>
    </w:p>
    <w:p w:rsidR="004E246D" w:rsidRDefault="004E246D" w:rsidP="004E246D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 a abertura do crédito é possível atender a objetivos não previstos no orçamento vigente. Destarte, à medida que melhora o processo de planejamento, há uma tendência a redução dos Créditos Especiais.</w:t>
      </w:r>
    </w:p>
    <w:p w:rsidR="0001632F" w:rsidRDefault="0001632F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Art. 4, do Projeto em análise, inclui ao Plano Plurianual e a Lei de Diretrizes </w:t>
      </w:r>
      <w:proofErr w:type="gramStart"/>
      <w:r>
        <w:rPr>
          <w:rFonts w:ascii="Calibri" w:eastAsia="Calibri" w:hAnsi="Calibri" w:cs="Calibri"/>
          <w:sz w:val="24"/>
          <w:szCs w:val="24"/>
        </w:rPr>
        <w:t>Orçamentárias vigente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as ações criadas, peço que se encaminhe ao jurídico para verificar a necessidade de inserção de emenda modificativa ao referido Projeto de Lei para inclusão das referidas ações a Lei Orçamentária Anual.</w:t>
      </w:r>
    </w:p>
    <w:p w:rsidR="0001632F" w:rsidRDefault="0001632F" w:rsidP="0001632F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Reforçando que os créditos adicionais aprovados no exercício de 2022 terão vigência adstrita a este exercício financeiro, conforme Art. 45, da Lei Federal nº 4320/1964, </w:t>
      </w:r>
      <w:r w:rsidRPr="0001632F">
        <w:rPr>
          <w:rFonts w:ascii="Calibri" w:eastAsia="Calibri" w:hAnsi="Calibri" w:cs="Calibri"/>
          <w:sz w:val="24"/>
          <w:szCs w:val="24"/>
        </w:rPr>
        <w:t>in</w:t>
      </w:r>
      <w:r w:rsidRPr="006B41B2"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 w:rsidRPr="006B41B2">
        <w:rPr>
          <w:rFonts w:ascii="Calibri" w:eastAsia="Calibri" w:hAnsi="Calibri" w:cs="Calibri"/>
          <w:i/>
          <w:sz w:val="24"/>
          <w:szCs w:val="24"/>
        </w:rPr>
        <w:t>verbis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:rsidR="0001632F" w:rsidRDefault="0001632F" w:rsidP="006B41B2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6B41B2" w:rsidRPr="00FF005A" w:rsidRDefault="0001632F" w:rsidP="00FF005A">
      <w:pPr>
        <w:spacing w:after="0" w:line="360" w:lineRule="auto"/>
        <w:ind w:left="3402"/>
        <w:jc w:val="both"/>
        <w:rPr>
          <w:rFonts w:ascii="Calibri" w:eastAsia="Calibri" w:hAnsi="Calibri" w:cs="Calibri"/>
          <w:i/>
          <w:sz w:val="24"/>
          <w:szCs w:val="24"/>
        </w:rPr>
      </w:pPr>
      <w:r w:rsidRPr="0001632F">
        <w:rPr>
          <w:rFonts w:ascii="Calibri" w:eastAsia="Calibri" w:hAnsi="Calibri" w:cs="Calibri"/>
          <w:i/>
          <w:sz w:val="24"/>
          <w:szCs w:val="24"/>
        </w:rPr>
        <w:t>Art. 45. Os créditos adicionais terão vigência adstrita ao exercício financeiro em que forem abertos, salvo expressa disposição legal em contrário, quanto aos especiais e extraordinários.</w:t>
      </w:r>
      <w:bookmarkStart w:id="0" w:name="_GoBack"/>
      <w:bookmarkEnd w:id="0"/>
    </w:p>
    <w:p w:rsidR="006B41B2" w:rsidRDefault="006B41B2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9F6159" w:rsidRPr="004633FF" w:rsidRDefault="009F6159" w:rsidP="009F6159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 xml:space="preserve">A conveniência e oportunidade da abertura de crédito adicional </w:t>
      </w:r>
      <w:r w:rsidR="0001632F">
        <w:rPr>
          <w:rFonts w:ascii="Calibri" w:eastAsia="Calibri" w:hAnsi="Calibri" w:cs="Calibri"/>
          <w:sz w:val="24"/>
          <w:szCs w:val="24"/>
        </w:rPr>
        <w:t xml:space="preserve">especial </w:t>
      </w:r>
      <w:proofErr w:type="gramStart"/>
      <w:r w:rsidRPr="004633FF">
        <w:rPr>
          <w:rFonts w:ascii="Calibri" w:eastAsia="Calibri" w:hAnsi="Calibri" w:cs="Calibri"/>
          <w:sz w:val="24"/>
          <w:szCs w:val="24"/>
        </w:rPr>
        <w:t>deve ser analisada</w:t>
      </w:r>
      <w:proofErr w:type="gramEnd"/>
      <w:r w:rsidRPr="004633FF">
        <w:rPr>
          <w:rFonts w:ascii="Calibri" w:eastAsia="Calibri" w:hAnsi="Calibri" w:cs="Calibri"/>
          <w:sz w:val="24"/>
          <w:szCs w:val="24"/>
        </w:rPr>
        <w:t xml:space="preserve"> exclusivamente pelos Excelentíssimos Vereadores. Em síntese, sob o aspecto </w:t>
      </w:r>
      <w:r w:rsidRPr="004633FF">
        <w:rPr>
          <w:rFonts w:ascii="Calibri" w:eastAsia="Calibri" w:hAnsi="Calibri" w:cs="Calibri"/>
          <w:sz w:val="24"/>
          <w:szCs w:val="24"/>
        </w:rPr>
        <w:lastRenderedPageBreak/>
        <w:t>formal, o projeto atende satisfatoriamente aos parâmetros exigidos pela Lei de Responsabilidade Fiscal e pela Constituição Federal. Apresentadas as informações técnico-contábeis, cabe ao Egrégio Plenário apreciar o mérito do presente projeto, devendo ser observado o interesse público local, e, se for o caso, solicitar informações complementares.</w:t>
      </w:r>
    </w:p>
    <w:p w:rsidR="009F6159" w:rsidRPr="004633FF" w:rsidRDefault="009F6159" w:rsidP="004633FF">
      <w:pPr>
        <w:spacing w:after="0" w:line="240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Eis o parecer.</w:t>
      </w:r>
    </w:p>
    <w:p w:rsidR="009F6159" w:rsidRDefault="009F6159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ind w:firstLine="1350"/>
        <w:jc w:val="both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C906FA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Bom Jardim de Minas, 07</w:t>
      </w:r>
      <w:r w:rsidR="009F6159" w:rsidRPr="004633FF">
        <w:rPr>
          <w:rFonts w:ascii="Calibri" w:eastAsia="Calibri" w:hAnsi="Calibri" w:cs="Calibri"/>
          <w:sz w:val="24"/>
          <w:szCs w:val="24"/>
        </w:rPr>
        <w:t xml:space="preserve"> de junho de 2022.</w:t>
      </w: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C906FA" w:rsidRPr="004633FF" w:rsidRDefault="00C906FA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:rsidR="009F6159" w:rsidRPr="004633FF" w:rsidRDefault="009F6159" w:rsidP="009F6159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Kelly Fonseca dos Santos</w:t>
      </w:r>
    </w:p>
    <w:p w:rsidR="00967831" w:rsidRPr="004633FF" w:rsidRDefault="009F6159" w:rsidP="004633FF">
      <w:pPr>
        <w:spacing w:after="0" w:line="276" w:lineRule="auto"/>
        <w:jc w:val="center"/>
        <w:rPr>
          <w:sz w:val="24"/>
          <w:szCs w:val="24"/>
        </w:rPr>
      </w:pPr>
      <w:r w:rsidRPr="004633FF">
        <w:rPr>
          <w:rFonts w:ascii="Calibri" w:eastAsia="Calibri" w:hAnsi="Calibri" w:cs="Calibri"/>
          <w:sz w:val="24"/>
          <w:szCs w:val="24"/>
        </w:rPr>
        <w:t>CRC-RJ 113819/O-8 T-MG</w:t>
      </w:r>
    </w:p>
    <w:sectPr w:rsidR="00967831" w:rsidRPr="004633FF" w:rsidSect="00B90EEF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3E" w:rsidRDefault="006C783E" w:rsidP="003A4A3B">
      <w:pPr>
        <w:spacing w:after="0" w:line="240" w:lineRule="auto"/>
      </w:pPr>
      <w:r>
        <w:separator/>
      </w:r>
    </w:p>
  </w:endnote>
  <w:endnote w:type="continuationSeparator" w:id="0">
    <w:p w:rsidR="006C783E" w:rsidRDefault="006C783E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FF005A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3E" w:rsidRDefault="006C783E" w:rsidP="003A4A3B">
      <w:pPr>
        <w:spacing w:after="0" w:line="240" w:lineRule="auto"/>
      </w:pPr>
      <w:r>
        <w:separator/>
      </w:r>
    </w:p>
  </w:footnote>
  <w:footnote w:type="continuationSeparator" w:id="0">
    <w:p w:rsidR="006C783E" w:rsidRDefault="006C783E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B90EEF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B90EEF" w:rsidRDefault="00B90EEF" w:rsidP="00B90EEF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5B45C88E" wp14:editId="44758255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CD"/>
    <w:rsid w:val="0000057D"/>
    <w:rsid w:val="00003302"/>
    <w:rsid w:val="000121B1"/>
    <w:rsid w:val="000139E2"/>
    <w:rsid w:val="0001632F"/>
    <w:rsid w:val="00023C7F"/>
    <w:rsid w:val="00023C8B"/>
    <w:rsid w:val="00025F56"/>
    <w:rsid w:val="00032818"/>
    <w:rsid w:val="0003601F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82F86"/>
    <w:rsid w:val="000908D5"/>
    <w:rsid w:val="00097EB7"/>
    <w:rsid w:val="000A20D5"/>
    <w:rsid w:val="000A3D0C"/>
    <w:rsid w:val="000A6769"/>
    <w:rsid w:val="000B0144"/>
    <w:rsid w:val="000B1420"/>
    <w:rsid w:val="000B773E"/>
    <w:rsid w:val="000C3590"/>
    <w:rsid w:val="000C393D"/>
    <w:rsid w:val="000C3B6C"/>
    <w:rsid w:val="000C3D73"/>
    <w:rsid w:val="000C7C93"/>
    <w:rsid w:val="000D32DC"/>
    <w:rsid w:val="000D39FA"/>
    <w:rsid w:val="000D5063"/>
    <w:rsid w:val="000E1C32"/>
    <w:rsid w:val="000E3B7E"/>
    <w:rsid w:val="000E7797"/>
    <w:rsid w:val="000F763C"/>
    <w:rsid w:val="00102C22"/>
    <w:rsid w:val="00103180"/>
    <w:rsid w:val="00115183"/>
    <w:rsid w:val="00115360"/>
    <w:rsid w:val="00115705"/>
    <w:rsid w:val="00124352"/>
    <w:rsid w:val="00126CF6"/>
    <w:rsid w:val="00127ED3"/>
    <w:rsid w:val="00143F55"/>
    <w:rsid w:val="00147012"/>
    <w:rsid w:val="00160AF0"/>
    <w:rsid w:val="001645BE"/>
    <w:rsid w:val="00167E2D"/>
    <w:rsid w:val="0017202C"/>
    <w:rsid w:val="001721D7"/>
    <w:rsid w:val="00175ADE"/>
    <w:rsid w:val="001762CC"/>
    <w:rsid w:val="001809C9"/>
    <w:rsid w:val="00182787"/>
    <w:rsid w:val="00185D19"/>
    <w:rsid w:val="00187344"/>
    <w:rsid w:val="00192983"/>
    <w:rsid w:val="0019491B"/>
    <w:rsid w:val="00197E48"/>
    <w:rsid w:val="001B5A45"/>
    <w:rsid w:val="001B6374"/>
    <w:rsid w:val="001B6F51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FAE"/>
    <w:rsid w:val="001E7384"/>
    <w:rsid w:val="001E7A8C"/>
    <w:rsid w:val="001F10C1"/>
    <w:rsid w:val="001F609F"/>
    <w:rsid w:val="001F7DAC"/>
    <w:rsid w:val="0020587A"/>
    <w:rsid w:val="0021176C"/>
    <w:rsid w:val="00220534"/>
    <w:rsid w:val="00232149"/>
    <w:rsid w:val="002337D0"/>
    <w:rsid w:val="00236A80"/>
    <w:rsid w:val="00241290"/>
    <w:rsid w:val="002416E1"/>
    <w:rsid w:val="0024331F"/>
    <w:rsid w:val="002477F3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C48D0"/>
    <w:rsid w:val="002D04D0"/>
    <w:rsid w:val="002D30B5"/>
    <w:rsid w:val="002E2F6F"/>
    <w:rsid w:val="002E59C1"/>
    <w:rsid w:val="002E5A01"/>
    <w:rsid w:val="002E7989"/>
    <w:rsid w:val="00305004"/>
    <w:rsid w:val="0031388D"/>
    <w:rsid w:val="0031643F"/>
    <w:rsid w:val="00317D56"/>
    <w:rsid w:val="003217D0"/>
    <w:rsid w:val="00323422"/>
    <w:rsid w:val="003237B9"/>
    <w:rsid w:val="00326A20"/>
    <w:rsid w:val="00331529"/>
    <w:rsid w:val="003418A9"/>
    <w:rsid w:val="00347390"/>
    <w:rsid w:val="00355A63"/>
    <w:rsid w:val="00357F8A"/>
    <w:rsid w:val="003623FD"/>
    <w:rsid w:val="003728B8"/>
    <w:rsid w:val="00383F66"/>
    <w:rsid w:val="003A16C9"/>
    <w:rsid w:val="003A4A3B"/>
    <w:rsid w:val="003A78CF"/>
    <w:rsid w:val="003A7F79"/>
    <w:rsid w:val="003B06E8"/>
    <w:rsid w:val="003B449D"/>
    <w:rsid w:val="003B7883"/>
    <w:rsid w:val="003C4BB7"/>
    <w:rsid w:val="003C76C5"/>
    <w:rsid w:val="003D1348"/>
    <w:rsid w:val="003D2EDF"/>
    <w:rsid w:val="003E08D4"/>
    <w:rsid w:val="003E6A90"/>
    <w:rsid w:val="003E6A96"/>
    <w:rsid w:val="003F0E73"/>
    <w:rsid w:val="003F2C1E"/>
    <w:rsid w:val="003F7DA4"/>
    <w:rsid w:val="004038F2"/>
    <w:rsid w:val="004070A3"/>
    <w:rsid w:val="00411205"/>
    <w:rsid w:val="0041218D"/>
    <w:rsid w:val="00416832"/>
    <w:rsid w:val="00420B08"/>
    <w:rsid w:val="00424502"/>
    <w:rsid w:val="00427BE2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5954"/>
    <w:rsid w:val="00456DCC"/>
    <w:rsid w:val="004633FF"/>
    <w:rsid w:val="00463B76"/>
    <w:rsid w:val="004862AF"/>
    <w:rsid w:val="0048737A"/>
    <w:rsid w:val="00490331"/>
    <w:rsid w:val="004955D7"/>
    <w:rsid w:val="00495B0B"/>
    <w:rsid w:val="004979E1"/>
    <w:rsid w:val="004A5BA0"/>
    <w:rsid w:val="004B17C5"/>
    <w:rsid w:val="004B4667"/>
    <w:rsid w:val="004C103F"/>
    <w:rsid w:val="004C564B"/>
    <w:rsid w:val="004C5BC8"/>
    <w:rsid w:val="004C7064"/>
    <w:rsid w:val="004C73C2"/>
    <w:rsid w:val="004D179E"/>
    <w:rsid w:val="004D3A1A"/>
    <w:rsid w:val="004D6ACF"/>
    <w:rsid w:val="004E246D"/>
    <w:rsid w:val="004E3A84"/>
    <w:rsid w:val="004E6C05"/>
    <w:rsid w:val="004E756E"/>
    <w:rsid w:val="004F6B64"/>
    <w:rsid w:val="00501E5E"/>
    <w:rsid w:val="0050710E"/>
    <w:rsid w:val="0051788A"/>
    <w:rsid w:val="00522791"/>
    <w:rsid w:val="005304AA"/>
    <w:rsid w:val="00535221"/>
    <w:rsid w:val="00544724"/>
    <w:rsid w:val="00550BCE"/>
    <w:rsid w:val="00574960"/>
    <w:rsid w:val="005818B3"/>
    <w:rsid w:val="00595F4D"/>
    <w:rsid w:val="00597541"/>
    <w:rsid w:val="00597D43"/>
    <w:rsid w:val="005A0638"/>
    <w:rsid w:val="005A0D95"/>
    <w:rsid w:val="005A42D8"/>
    <w:rsid w:val="005B3850"/>
    <w:rsid w:val="005B6162"/>
    <w:rsid w:val="005C1F05"/>
    <w:rsid w:val="005C647D"/>
    <w:rsid w:val="005D3310"/>
    <w:rsid w:val="005E02D4"/>
    <w:rsid w:val="005E0534"/>
    <w:rsid w:val="005E0983"/>
    <w:rsid w:val="005F0DE1"/>
    <w:rsid w:val="006036DC"/>
    <w:rsid w:val="00605E94"/>
    <w:rsid w:val="006135AE"/>
    <w:rsid w:val="00615410"/>
    <w:rsid w:val="00616B0B"/>
    <w:rsid w:val="006211C8"/>
    <w:rsid w:val="006265F9"/>
    <w:rsid w:val="00626D2B"/>
    <w:rsid w:val="00630E16"/>
    <w:rsid w:val="006343F1"/>
    <w:rsid w:val="0064115D"/>
    <w:rsid w:val="006455CD"/>
    <w:rsid w:val="00651F39"/>
    <w:rsid w:val="006527DE"/>
    <w:rsid w:val="006541F6"/>
    <w:rsid w:val="00662360"/>
    <w:rsid w:val="006634A3"/>
    <w:rsid w:val="00670DB7"/>
    <w:rsid w:val="006717F3"/>
    <w:rsid w:val="00675F7D"/>
    <w:rsid w:val="00691358"/>
    <w:rsid w:val="00694170"/>
    <w:rsid w:val="006958CF"/>
    <w:rsid w:val="006A34B5"/>
    <w:rsid w:val="006A44DF"/>
    <w:rsid w:val="006A6958"/>
    <w:rsid w:val="006B0E7C"/>
    <w:rsid w:val="006B1BFA"/>
    <w:rsid w:val="006B41B2"/>
    <w:rsid w:val="006B55B6"/>
    <w:rsid w:val="006B59F3"/>
    <w:rsid w:val="006C783E"/>
    <w:rsid w:val="006D01F7"/>
    <w:rsid w:val="006D6ED1"/>
    <w:rsid w:val="006D7AC1"/>
    <w:rsid w:val="006D7F68"/>
    <w:rsid w:val="006E0E54"/>
    <w:rsid w:val="006E2284"/>
    <w:rsid w:val="006F0AD2"/>
    <w:rsid w:val="006F5BC7"/>
    <w:rsid w:val="006F60EB"/>
    <w:rsid w:val="0070147B"/>
    <w:rsid w:val="00706AD1"/>
    <w:rsid w:val="00710679"/>
    <w:rsid w:val="00710A30"/>
    <w:rsid w:val="00710B74"/>
    <w:rsid w:val="00712602"/>
    <w:rsid w:val="00715A8D"/>
    <w:rsid w:val="00717024"/>
    <w:rsid w:val="00730185"/>
    <w:rsid w:val="0073086F"/>
    <w:rsid w:val="00744016"/>
    <w:rsid w:val="00745237"/>
    <w:rsid w:val="007549FC"/>
    <w:rsid w:val="00754BAF"/>
    <w:rsid w:val="00757745"/>
    <w:rsid w:val="007604CB"/>
    <w:rsid w:val="00761C08"/>
    <w:rsid w:val="00762CE0"/>
    <w:rsid w:val="00777D8B"/>
    <w:rsid w:val="0078053B"/>
    <w:rsid w:val="0078239C"/>
    <w:rsid w:val="0078513C"/>
    <w:rsid w:val="00786A90"/>
    <w:rsid w:val="00792182"/>
    <w:rsid w:val="00792D1E"/>
    <w:rsid w:val="007976A3"/>
    <w:rsid w:val="007A1556"/>
    <w:rsid w:val="007A20CB"/>
    <w:rsid w:val="007A4EFE"/>
    <w:rsid w:val="007B01A2"/>
    <w:rsid w:val="007B36B7"/>
    <w:rsid w:val="007B57E9"/>
    <w:rsid w:val="007B6C63"/>
    <w:rsid w:val="007C0879"/>
    <w:rsid w:val="007C3F59"/>
    <w:rsid w:val="007C5BF2"/>
    <w:rsid w:val="007C5EE4"/>
    <w:rsid w:val="007D0816"/>
    <w:rsid w:val="007D4FA3"/>
    <w:rsid w:val="007D5908"/>
    <w:rsid w:val="007E66E4"/>
    <w:rsid w:val="007E76A9"/>
    <w:rsid w:val="007F0F60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5F92"/>
    <w:rsid w:val="00857D7A"/>
    <w:rsid w:val="00871381"/>
    <w:rsid w:val="00875ECA"/>
    <w:rsid w:val="00882426"/>
    <w:rsid w:val="00882BBC"/>
    <w:rsid w:val="00887656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36BC6"/>
    <w:rsid w:val="00941C9B"/>
    <w:rsid w:val="00944836"/>
    <w:rsid w:val="0095661F"/>
    <w:rsid w:val="00960205"/>
    <w:rsid w:val="00961C7F"/>
    <w:rsid w:val="00967831"/>
    <w:rsid w:val="009701AC"/>
    <w:rsid w:val="00974AC5"/>
    <w:rsid w:val="00980783"/>
    <w:rsid w:val="009831DB"/>
    <w:rsid w:val="00990686"/>
    <w:rsid w:val="009A343A"/>
    <w:rsid w:val="009A6F92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5D73"/>
    <w:rsid w:val="009E5D87"/>
    <w:rsid w:val="009E6233"/>
    <w:rsid w:val="009E6BFF"/>
    <w:rsid w:val="009F2494"/>
    <w:rsid w:val="009F38DE"/>
    <w:rsid w:val="009F6159"/>
    <w:rsid w:val="00A02D71"/>
    <w:rsid w:val="00A05D13"/>
    <w:rsid w:val="00A148CF"/>
    <w:rsid w:val="00A17964"/>
    <w:rsid w:val="00A22C40"/>
    <w:rsid w:val="00A270F7"/>
    <w:rsid w:val="00A30CBA"/>
    <w:rsid w:val="00A352CC"/>
    <w:rsid w:val="00A3538C"/>
    <w:rsid w:val="00A36488"/>
    <w:rsid w:val="00A41CDF"/>
    <w:rsid w:val="00A556FD"/>
    <w:rsid w:val="00A56F06"/>
    <w:rsid w:val="00A6487A"/>
    <w:rsid w:val="00A727F8"/>
    <w:rsid w:val="00A73E53"/>
    <w:rsid w:val="00A77208"/>
    <w:rsid w:val="00A7795F"/>
    <w:rsid w:val="00A82866"/>
    <w:rsid w:val="00A84258"/>
    <w:rsid w:val="00A9181F"/>
    <w:rsid w:val="00A929FD"/>
    <w:rsid w:val="00A937D1"/>
    <w:rsid w:val="00A9625B"/>
    <w:rsid w:val="00A963D4"/>
    <w:rsid w:val="00A979DB"/>
    <w:rsid w:val="00AA4F41"/>
    <w:rsid w:val="00AA530B"/>
    <w:rsid w:val="00AB3DE3"/>
    <w:rsid w:val="00AB4FCF"/>
    <w:rsid w:val="00AB5385"/>
    <w:rsid w:val="00AC05A3"/>
    <w:rsid w:val="00AD1B15"/>
    <w:rsid w:val="00AD2A8E"/>
    <w:rsid w:val="00AD35C7"/>
    <w:rsid w:val="00AD4371"/>
    <w:rsid w:val="00AE0374"/>
    <w:rsid w:val="00AE11D3"/>
    <w:rsid w:val="00AE1A2E"/>
    <w:rsid w:val="00AF465D"/>
    <w:rsid w:val="00AF49BB"/>
    <w:rsid w:val="00AF73D5"/>
    <w:rsid w:val="00AF7DDC"/>
    <w:rsid w:val="00B040FB"/>
    <w:rsid w:val="00B064B8"/>
    <w:rsid w:val="00B20315"/>
    <w:rsid w:val="00B20E69"/>
    <w:rsid w:val="00B25854"/>
    <w:rsid w:val="00B26696"/>
    <w:rsid w:val="00B37C96"/>
    <w:rsid w:val="00B4294C"/>
    <w:rsid w:val="00B44777"/>
    <w:rsid w:val="00B46FE9"/>
    <w:rsid w:val="00B5049B"/>
    <w:rsid w:val="00B5260C"/>
    <w:rsid w:val="00B52751"/>
    <w:rsid w:val="00B53D14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3E3C"/>
    <w:rsid w:val="00BE7132"/>
    <w:rsid w:val="00C01A15"/>
    <w:rsid w:val="00C01A47"/>
    <w:rsid w:val="00C049A5"/>
    <w:rsid w:val="00C10F3D"/>
    <w:rsid w:val="00C1375A"/>
    <w:rsid w:val="00C16710"/>
    <w:rsid w:val="00C17A7A"/>
    <w:rsid w:val="00C20A32"/>
    <w:rsid w:val="00C25E81"/>
    <w:rsid w:val="00C31D2D"/>
    <w:rsid w:val="00C32B39"/>
    <w:rsid w:val="00C333DC"/>
    <w:rsid w:val="00C4562F"/>
    <w:rsid w:val="00C501C6"/>
    <w:rsid w:val="00C5330C"/>
    <w:rsid w:val="00C60615"/>
    <w:rsid w:val="00C70C45"/>
    <w:rsid w:val="00C7147D"/>
    <w:rsid w:val="00C740E6"/>
    <w:rsid w:val="00C75675"/>
    <w:rsid w:val="00C75BBD"/>
    <w:rsid w:val="00C765B8"/>
    <w:rsid w:val="00C77163"/>
    <w:rsid w:val="00C900D6"/>
    <w:rsid w:val="00C906FA"/>
    <w:rsid w:val="00C93B27"/>
    <w:rsid w:val="00CA02CE"/>
    <w:rsid w:val="00CA5A98"/>
    <w:rsid w:val="00CB0979"/>
    <w:rsid w:val="00CB7ED2"/>
    <w:rsid w:val="00CC0608"/>
    <w:rsid w:val="00CC46DD"/>
    <w:rsid w:val="00CC6186"/>
    <w:rsid w:val="00CD0A5B"/>
    <w:rsid w:val="00CD34CB"/>
    <w:rsid w:val="00CE0355"/>
    <w:rsid w:val="00CE13FD"/>
    <w:rsid w:val="00CE743B"/>
    <w:rsid w:val="00CF4A7B"/>
    <w:rsid w:val="00D0329A"/>
    <w:rsid w:val="00D0424A"/>
    <w:rsid w:val="00D04F0D"/>
    <w:rsid w:val="00D105CF"/>
    <w:rsid w:val="00D1113C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2DA1"/>
    <w:rsid w:val="00DB6264"/>
    <w:rsid w:val="00DC3FB6"/>
    <w:rsid w:val="00DC4DC2"/>
    <w:rsid w:val="00DC67F2"/>
    <w:rsid w:val="00DD0E37"/>
    <w:rsid w:val="00DD11E3"/>
    <w:rsid w:val="00DD2031"/>
    <w:rsid w:val="00DE1C04"/>
    <w:rsid w:val="00DE273F"/>
    <w:rsid w:val="00E00253"/>
    <w:rsid w:val="00E00F8F"/>
    <w:rsid w:val="00E03A63"/>
    <w:rsid w:val="00E04216"/>
    <w:rsid w:val="00E11A62"/>
    <w:rsid w:val="00E130B7"/>
    <w:rsid w:val="00E15576"/>
    <w:rsid w:val="00E17E04"/>
    <w:rsid w:val="00E25BE5"/>
    <w:rsid w:val="00E30EDA"/>
    <w:rsid w:val="00E334F2"/>
    <w:rsid w:val="00E44B74"/>
    <w:rsid w:val="00E44E16"/>
    <w:rsid w:val="00E51E9F"/>
    <w:rsid w:val="00E62AC7"/>
    <w:rsid w:val="00E63761"/>
    <w:rsid w:val="00E646CB"/>
    <w:rsid w:val="00E74C77"/>
    <w:rsid w:val="00E770CD"/>
    <w:rsid w:val="00E83191"/>
    <w:rsid w:val="00E83651"/>
    <w:rsid w:val="00E87113"/>
    <w:rsid w:val="00E9228E"/>
    <w:rsid w:val="00E924AC"/>
    <w:rsid w:val="00EA128F"/>
    <w:rsid w:val="00EA7CF8"/>
    <w:rsid w:val="00EB699A"/>
    <w:rsid w:val="00EB7F5E"/>
    <w:rsid w:val="00EC2A1F"/>
    <w:rsid w:val="00EC3EE5"/>
    <w:rsid w:val="00EC4AD8"/>
    <w:rsid w:val="00EE62B3"/>
    <w:rsid w:val="00EE7532"/>
    <w:rsid w:val="00EF2ACC"/>
    <w:rsid w:val="00F02D50"/>
    <w:rsid w:val="00F06ADD"/>
    <w:rsid w:val="00F074C7"/>
    <w:rsid w:val="00F21336"/>
    <w:rsid w:val="00F21B92"/>
    <w:rsid w:val="00F21D26"/>
    <w:rsid w:val="00F2496A"/>
    <w:rsid w:val="00F300DB"/>
    <w:rsid w:val="00F32E52"/>
    <w:rsid w:val="00F36F4E"/>
    <w:rsid w:val="00F410B0"/>
    <w:rsid w:val="00F50D01"/>
    <w:rsid w:val="00F54F3F"/>
    <w:rsid w:val="00F636B2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4B3D"/>
    <w:rsid w:val="00FA7FA4"/>
    <w:rsid w:val="00FB1D85"/>
    <w:rsid w:val="00FB44A9"/>
    <w:rsid w:val="00FB4D58"/>
    <w:rsid w:val="00FB6A54"/>
    <w:rsid w:val="00FC217C"/>
    <w:rsid w:val="00FC78E1"/>
    <w:rsid w:val="00FD568A"/>
    <w:rsid w:val="00FE3EA6"/>
    <w:rsid w:val="00FF005A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C93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E5D73"/>
    <w:rPr>
      <w:b/>
      <w:bCs/>
    </w:rPr>
  </w:style>
  <w:style w:type="character" w:styleId="nfase">
    <w:name w:val="Emphasis"/>
    <w:basedOn w:val="Fontepargpadro"/>
    <w:uiPriority w:val="20"/>
    <w:qFormat/>
    <w:rsid w:val="009E5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A096-06F7-484C-9B3D-F7FBDE86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0</TotalTime>
  <Pages>4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CLIENTE</cp:lastModifiedBy>
  <cp:revision>2</cp:revision>
  <cp:lastPrinted>2022-06-07T13:41:00Z</cp:lastPrinted>
  <dcterms:created xsi:type="dcterms:W3CDTF">2022-06-07T13:43:00Z</dcterms:created>
  <dcterms:modified xsi:type="dcterms:W3CDTF">2022-06-07T13:43:00Z</dcterms:modified>
</cp:coreProperties>
</file>