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309E84AE" w:rsidR="00D46143" w:rsidRPr="00855470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855470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1632B4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</w:t>
      </w:r>
      <w:r w:rsidR="00D216AF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1632B4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1335C3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D216AF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9</w:t>
      </w:r>
      <w:r w:rsidR="001335C3" w:rsidRPr="008554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63EDB65F" w14:textId="77777777" w:rsidR="00301AEB" w:rsidRPr="00855470" w:rsidRDefault="00301AEB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6EA0E906" w14:textId="77777777" w:rsidR="00D216AF" w:rsidRPr="00855470" w:rsidRDefault="00D216AF" w:rsidP="00D216AF">
      <w:pPr>
        <w:spacing w:after="0" w:line="240" w:lineRule="auto"/>
        <w:ind w:left="3969"/>
        <w:rPr>
          <w:rFonts w:asciiTheme="majorHAnsi" w:eastAsia="Times New Roman" w:hAnsiTheme="majorHAnsi" w:cstheme="minorHAnsi"/>
          <w:b/>
          <w:color w:val="000000" w:themeColor="text1"/>
          <w:szCs w:val="24"/>
          <w:lang w:eastAsia="pt-BR"/>
        </w:rPr>
      </w:pPr>
    </w:p>
    <w:p w14:paraId="2E187188" w14:textId="6C097E82" w:rsidR="00D216AF" w:rsidRPr="00855470" w:rsidRDefault="00D216AF" w:rsidP="00C82FBE">
      <w:pPr>
        <w:spacing w:after="0" w:line="240" w:lineRule="auto"/>
        <w:ind w:left="3969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>Parecer jurídico ao projeto de lei n°</w:t>
      </w:r>
      <w:r w:rsidR="00AF54CF" w:rsidRPr="00855470">
        <w:rPr>
          <w:rFonts w:asciiTheme="majorHAnsi" w:hAnsiTheme="majorHAnsi" w:cstheme="minorHAnsi"/>
          <w:color w:val="000000" w:themeColor="text1"/>
          <w:szCs w:val="24"/>
        </w:rPr>
        <w:t xml:space="preserve"> 19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>/202</w:t>
      </w:r>
      <w:r w:rsidR="00AF54CF" w:rsidRPr="00855470">
        <w:rPr>
          <w:rFonts w:asciiTheme="majorHAnsi" w:hAnsiTheme="majorHAnsi" w:cstheme="minorHAnsi"/>
          <w:color w:val="000000" w:themeColor="text1"/>
          <w:szCs w:val="24"/>
        </w:rPr>
        <w:t>2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, que “autoriza a abertura de crédito adicional Especial no valor de R$ </w:t>
      </w:r>
      <w:r w:rsidR="00AF54CF" w:rsidRPr="00855470">
        <w:rPr>
          <w:rFonts w:asciiTheme="majorHAnsi" w:hAnsiTheme="majorHAnsi" w:cstheme="minorHAnsi"/>
          <w:color w:val="000000" w:themeColor="text1"/>
          <w:szCs w:val="24"/>
        </w:rPr>
        <w:t>100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.000,00 e dá outras providências”. </w:t>
      </w:r>
    </w:p>
    <w:p w14:paraId="7AC84D0A" w14:textId="77777777" w:rsidR="00D216AF" w:rsidRPr="00855470" w:rsidRDefault="00D216AF" w:rsidP="00D216AF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Cs w:val="24"/>
        </w:rPr>
      </w:pPr>
    </w:p>
    <w:p w14:paraId="71406247" w14:textId="77777777" w:rsidR="00D216AF" w:rsidRPr="00855470" w:rsidRDefault="00D216AF" w:rsidP="00D216AF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b/>
          <w:color w:val="000000" w:themeColor="text1"/>
          <w:szCs w:val="24"/>
        </w:rPr>
        <w:t xml:space="preserve">CONSULTA: </w:t>
      </w:r>
    </w:p>
    <w:p w14:paraId="078EA9A1" w14:textId="52047A75" w:rsidR="00D216AF" w:rsidRPr="00855470" w:rsidRDefault="00D216AF" w:rsidP="00D216AF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Após receber o Projeto de Lei em epígrafe, a Assessoria Jurídica da Câmara Municipal de Bom Jardim de Minas emite parecer a esta proposição, de autoria do Prefeito Municipal, que dispõe sobre abertura de um crédito Adicional Especial destinado </w:t>
      </w:r>
      <w:r w:rsidR="00AF54CF" w:rsidRPr="00855470">
        <w:rPr>
          <w:rFonts w:asciiTheme="majorHAnsi" w:hAnsiTheme="majorHAnsi" w:cstheme="minorHAnsi"/>
          <w:color w:val="000000" w:themeColor="text1"/>
          <w:szCs w:val="24"/>
        </w:rPr>
        <w:t xml:space="preserve">à </w:t>
      </w:r>
      <w:r w:rsidR="002C5B45">
        <w:rPr>
          <w:rFonts w:asciiTheme="majorHAnsi" w:hAnsiTheme="majorHAnsi" w:cstheme="minorHAnsi"/>
          <w:color w:val="000000" w:themeColor="text1"/>
          <w:szCs w:val="24"/>
        </w:rPr>
        <w:t>S</w:t>
      </w:r>
      <w:r w:rsidR="00AF54CF" w:rsidRPr="00855470">
        <w:rPr>
          <w:rFonts w:asciiTheme="majorHAnsi" w:hAnsiTheme="majorHAnsi" w:cstheme="minorHAnsi"/>
          <w:color w:val="000000" w:themeColor="text1"/>
          <w:szCs w:val="24"/>
        </w:rPr>
        <w:t xml:space="preserve">egurança </w:t>
      </w:r>
      <w:r w:rsidR="002C5B45">
        <w:rPr>
          <w:rFonts w:asciiTheme="majorHAnsi" w:hAnsiTheme="majorHAnsi" w:cstheme="minorHAnsi"/>
          <w:color w:val="000000" w:themeColor="text1"/>
          <w:szCs w:val="24"/>
        </w:rPr>
        <w:t>P</w:t>
      </w:r>
      <w:r w:rsidR="00AF54CF" w:rsidRPr="00855470">
        <w:rPr>
          <w:rFonts w:asciiTheme="majorHAnsi" w:hAnsiTheme="majorHAnsi" w:cstheme="minorHAnsi"/>
          <w:color w:val="000000" w:themeColor="text1"/>
          <w:szCs w:val="24"/>
        </w:rPr>
        <w:t>ública.</w:t>
      </w:r>
    </w:p>
    <w:p w14:paraId="070E2E67" w14:textId="77777777" w:rsidR="00D216AF" w:rsidRPr="00855470" w:rsidRDefault="00D216AF" w:rsidP="00D216AF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Cs w:val="24"/>
        </w:rPr>
      </w:pPr>
    </w:p>
    <w:p w14:paraId="4616DFA3" w14:textId="77777777" w:rsidR="00D216AF" w:rsidRPr="00855470" w:rsidRDefault="00D216AF" w:rsidP="00D216AF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b/>
          <w:color w:val="000000" w:themeColor="text1"/>
          <w:szCs w:val="24"/>
        </w:rPr>
        <w:t>PARECER:</w:t>
      </w:r>
    </w:p>
    <w:p w14:paraId="4C8223D5" w14:textId="54AF36FF" w:rsidR="00D216AF" w:rsidRDefault="00D216AF" w:rsidP="00D216AF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Sob o aspecto formal, o projeto foi apresentado em bons termos, estando </w:t>
      </w:r>
      <w:r w:rsidR="002C5B45">
        <w:rPr>
          <w:rFonts w:asciiTheme="majorHAnsi" w:hAnsiTheme="majorHAnsi" w:cstheme="minorHAnsi"/>
          <w:color w:val="000000" w:themeColor="text1"/>
          <w:szCs w:val="24"/>
        </w:rPr>
        <w:t xml:space="preserve">de 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>acordo com as regras da técnica legislativa.</w:t>
      </w:r>
    </w:p>
    <w:p w14:paraId="1BBAFA71" w14:textId="77777777" w:rsidR="002C5B45" w:rsidRPr="00855470" w:rsidRDefault="002C5B45" w:rsidP="002C5B45">
      <w:pPr>
        <w:spacing w:after="0" w:line="360" w:lineRule="auto"/>
        <w:ind w:firstLine="70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color w:val="000000" w:themeColor="text1"/>
          <w:szCs w:val="24"/>
        </w:rPr>
        <w:t xml:space="preserve">Em relação à apreciação do PL pelo legislativo, destaca-se o que se segue, conforme a LOM: </w:t>
      </w:r>
    </w:p>
    <w:p w14:paraId="6F2682AF" w14:textId="77777777" w:rsidR="002C5B45" w:rsidRPr="00855470" w:rsidRDefault="002C5B45" w:rsidP="002C5B45">
      <w:pPr>
        <w:spacing w:after="0" w:line="240" w:lineRule="auto"/>
        <w:ind w:left="226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b/>
          <w:color w:val="000000" w:themeColor="text1"/>
          <w:szCs w:val="24"/>
        </w:rPr>
        <w:t>Art. 13.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 Cabe à Câmara Municipal, com a sanção do Prefeito, legislar sobre todas as matérias de competência do Município, e especialmente no que se refere ao seguinte: </w:t>
      </w:r>
    </w:p>
    <w:p w14:paraId="33707846" w14:textId="77777777" w:rsidR="002C5B45" w:rsidRPr="00855470" w:rsidRDefault="002C5B45" w:rsidP="002C5B45">
      <w:pPr>
        <w:spacing w:after="0" w:line="240" w:lineRule="auto"/>
        <w:ind w:left="226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color w:val="000000" w:themeColor="text1"/>
          <w:szCs w:val="24"/>
        </w:rPr>
        <w:t>(...)</w:t>
      </w:r>
    </w:p>
    <w:p w14:paraId="7CC2E347" w14:textId="77777777" w:rsidR="002C5B45" w:rsidRPr="00855470" w:rsidRDefault="002C5B45" w:rsidP="002C5B45">
      <w:pPr>
        <w:spacing w:after="0" w:line="240" w:lineRule="auto"/>
        <w:ind w:left="2268"/>
        <w:rPr>
          <w:rFonts w:asciiTheme="majorHAnsi" w:hAnsiTheme="majorHAnsi"/>
          <w:b/>
          <w:color w:val="000000" w:themeColor="text1"/>
          <w:szCs w:val="24"/>
        </w:rPr>
      </w:pPr>
      <w:r w:rsidRPr="00855470">
        <w:rPr>
          <w:rFonts w:asciiTheme="majorHAnsi" w:hAnsiTheme="majorHAnsi"/>
          <w:color w:val="000000" w:themeColor="text1"/>
          <w:szCs w:val="24"/>
        </w:rPr>
        <w:t xml:space="preserve">III - orçamento anual, </w:t>
      </w:r>
      <w:proofErr w:type="gramStart"/>
      <w:r w:rsidRPr="00855470">
        <w:rPr>
          <w:rFonts w:asciiTheme="majorHAnsi" w:hAnsiTheme="majorHAnsi"/>
          <w:color w:val="000000" w:themeColor="text1"/>
          <w:szCs w:val="24"/>
        </w:rPr>
        <w:t>plano plurianual e diretrizes orçamentárias</w:t>
      </w:r>
      <w:proofErr w:type="gramEnd"/>
      <w:r w:rsidRPr="00855470">
        <w:rPr>
          <w:rFonts w:asciiTheme="majorHAnsi" w:hAnsiTheme="majorHAnsi"/>
          <w:color w:val="000000" w:themeColor="text1"/>
          <w:szCs w:val="24"/>
        </w:rPr>
        <w:t xml:space="preserve">, bem </w:t>
      </w:r>
      <w:r w:rsidRPr="00855470">
        <w:rPr>
          <w:rFonts w:asciiTheme="majorHAnsi" w:hAnsiTheme="majorHAnsi"/>
          <w:b/>
          <w:color w:val="000000" w:themeColor="text1"/>
          <w:szCs w:val="24"/>
        </w:rPr>
        <w:t>como autorizar a abertura de créditos suplementares e especiais;</w:t>
      </w:r>
    </w:p>
    <w:p w14:paraId="5B96106E" w14:textId="77777777" w:rsidR="002C5B45" w:rsidRPr="00855470" w:rsidRDefault="002C5B45" w:rsidP="002C5B45">
      <w:pPr>
        <w:spacing w:after="0" w:line="360" w:lineRule="auto"/>
        <w:ind w:firstLine="708"/>
        <w:rPr>
          <w:rFonts w:asciiTheme="majorHAnsi" w:hAnsiTheme="majorHAnsi"/>
          <w:color w:val="000000" w:themeColor="text1"/>
          <w:szCs w:val="24"/>
        </w:rPr>
      </w:pPr>
    </w:p>
    <w:p w14:paraId="27012CB2" w14:textId="77777777" w:rsidR="002C5B45" w:rsidRPr="00855470" w:rsidRDefault="002C5B45" w:rsidP="002C5B45">
      <w:pPr>
        <w:spacing w:after="0" w:line="240" w:lineRule="auto"/>
        <w:ind w:left="226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b/>
          <w:color w:val="000000" w:themeColor="text1"/>
          <w:szCs w:val="24"/>
        </w:rPr>
        <w:t xml:space="preserve"> Art. 166.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 Os projetos de lei relativos ao Plano Plurianual, à Lei de Diretrizes Orçamentárias, ao Orçamento Anual </w:t>
      </w:r>
      <w:r w:rsidRPr="00855470">
        <w:rPr>
          <w:rFonts w:asciiTheme="majorHAnsi" w:hAnsiTheme="majorHAnsi"/>
          <w:b/>
          <w:color w:val="000000" w:themeColor="text1"/>
          <w:szCs w:val="24"/>
        </w:rPr>
        <w:t xml:space="preserve">e aos créditos adicionais 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serão apreciados pela Câmara Municipal, observados os parâmetros estabelecidos pela Lei de Responsabilidade Fiscal e a regulamentação a ser aprovada pelo Regimento Interno da Câmara. </w:t>
      </w:r>
    </w:p>
    <w:p w14:paraId="731C6F3E" w14:textId="77777777" w:rsidR="002C5B45" w:rsidRPr="00855470" w:rsidRDefault="002C5B45" w:rsidP="002C5B45">
      <w:pPr>
        <w:spacing w:after="0" w:line="240" w:lineRule="auto"/>
        <w:ind w:left="2268"/>
        <w:rPr>
          <w:rFonts w:asciiTheme="majorHAnsi" w:hAnsiTheme="majorHAnsi"/>
          <w:color w:val="000000" w:themeColor="text1"/>
          <w:szCs w:val="24"/>
        </w:rPr>
      </w:pPr>
    </w:p>
    <w:p w14:paraId="24E4A1C6" w14:textId="77777777" w:rsidR="002C5B45" w:rsidRPr="00855470" w:rsidRDefault="002C5B45" w:rsidP="002C5B45">
      <w:pPr>
        <w:spacing w:after="0" w:line="240" w:lineRule="auto"/>
        <w:ind w:left="226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b/>
          <w:color w:val="000000" w:themeColor="text1"/>
          <w:szCs w:val="24"/>
        </w:rPr>
        <w:t>Parágrafo único.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 A deliberação da Câmara aos projetos de que trata este artigo será precedida de avaliação e parecer sobre a </w:t>
      </w:r>
      <w:r w:rsidRPr="00855470">
        <w:rPr>
          <w:rFonts w:asciiTheme="majorHAnsi" w:hAnsiTheme="majorHAnsi"/>
          <w:color w:val="000000" w:themeColor="text1"/>
          <w:szCs w:val="24"/>
        </w:rPr>
        <w:lastRenderedPageBreak/>
        <w:t xml:space="preserve">forma e o mérito do projeto, a ser </w:t>
      </w:r>
      <w:proofErr w:type="gramStart"/>
      <w:r w:rsidRPr="00855470">
        <w:rPr>
          <w:rFonts w:asciiTheme="majorHAnsi" w:hAnsiTheme="majorHAnsi"/>
          <w:color w:val="000000" w:themeColor="text1"/>
          <w:szCs w:val="24"/>
        </w:rPr>
        <w:t>realizada pela Comissão Permanente de Finanças, Orçamento</w:t>
      </w:r>
      <w:proofErr w:type="gramEnd"/>
      <w:r w:rsidRPr="00855470">
        <w:rPr>
          <w:rFonts w:asciiTheme="majorHAnsi" w:hAnsiTheme="majorHAnsi"/>
          <w:color w:val="000000" w:themeColor="text1"/>
          <w:szCs w:val="24"/>
        </w:rPr>
        <w:t xml:space="preserve"> e Tomadas de Contas. </w:t>
      </w:r>
    </w:p>
    <w:p w14:paraId="2914BD9D" w14:textId="77777777" w:rsidR="002C5B45" w:rsidRPr="00855470" w:rsidRDefault="002C5B45" w:rsidP="00D216AF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</w:p>
    <w:p w14:paraId="39A8B050" w14:textId="1B42AF5D" w:rsidR="00365C1E" w:rsidRPr="00855470" w:rsidRDefault="00D216AF" w:rsidP="00365C1E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 O projeto está redigido em termos simples e </w:t>
      </w:r>
      <w:r w:rsidR="00355006" w:rsidRPr="00855470">
        <w:rPr>
          <w:rFonts w:asciiTheme="majorHAnsi" w:hAnsiTheme="majorHAnsi" w:cstheme="minorHAnsi"/>
          <w:color w:val="000000" w:themeColor="text1"/>
          <w:szCs w:val="24"/>
        </w:rPr>
        <w:t>objetivos e possui cinco artigos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, e trata, em poucas palavras, da destinação de um valor de R$ </w:t>
      </w:r>
      <w:r w:rsidR="00AF54CF" w:rsidRPr="00855470">
        <w:rPr>
          <w:rFonts w:asciiTheme="majorHAnsi" w:hAnsiTheme="majorHAnsi" w:cstheme="minorHAnsi"/>
          <w:color w:val="000000" w:themeColor="text1"/>
          <w:szCs w:val="24"/>
        </w:rPr>
        <w:t>100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>.000,00 (</w:t>
      </w:r>
      <w:r w:rsidR="00AF54CF" w:rsidRPr="00855470">
        <w:rPr>
          <w:rFonts w:asciiTheme="majorHAnsi" w:hAnsiTheme="majorHAnsi" w:cstheme="minorHAnsi"/>
          <w:color w:val="000000" w:themeColor="text1"/>
          <w:szCs w:val="24"/>
        </w:rPr>
        <w:t>cem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 mil reais), para </w:t>
      </w:r>
      <w:r w:rsidR="00AF54CF" w:rsidRPr="00855470">
        <w:rPr>
          <w:rFonts w:asciiTheme="majorHAnsi" w:hAnsiTheme="majorHAnsi" w:cstheme="minorHAnsi"/>
          <w:color w:val="000000" w:themeColor="text1"/>
          <w:szCs w:val="24"/>
        </w:rPr>
        <w:t xml:space="preserve">aquisição de câmeras de monitoramento nas vias públicas do município, utilizando como fonte de recurso o </w:t>
      </w:r>
      <w:r w:rsidR="00E73CD6" w:rsidRPr="00855470">
        <w:rPr>
          <w:rFonts w:asciiTheme="majorHAnsi" w:hAnsiTheme="majorHAnsi" w:cstheme="minorHAnsi"/>
          <w:color w:val="000000" w:themeColor="text1"/>
          <w:szCs w:val="24"/>
        </w:rPr>
        <w:t>superávit</w:t>
      </w:r>
      <w:r w:rsidR="00365C1E">
        <w:rPr>
          <w:rFonts w:asciiTheme="majorHAnsi" w:hAnsiTheme="majorHAnsi" w:cstheme="minorHAnsi"/>
          <w:color w:val="000000" w:themeColor="text1"/>
          <w:szCs w:val="24"/>
        </w:rPr>
        <w:t xml:space="preserve"> financeiro</w:t>
      </w:r>
      <w:r w:rsidR="00365C1E" w:rsidRPr="00855470">
        <w:rPr>
          <w:rFonts w:asciiTheme="majorHAnsi" w:hAnsiTheme="majorHAnsi" w:cstheme="minorHAnsi"/>
          <w:color w:val="000000" w:themeColor="text1"/>
          <w:szCs w:val="24"/>
        </w:rPr>
        <w:t xml:space="preserve">, pautando-se no fato de que no ano de 2021 fora publicada a Lei 1.646/2021 que instituiu o sistema de </w:t>
      </w:r>
      <w:proofErr w:type="spellStart"/>
      <w:r w:rsidR="00365C1E" w:rsidRPr="00855470">
        <w:rPr>
          <w:rFonts w:asciiTheme="majorHAnsi" w:hAnsiTheme="majorHAnsi" w:cstheme="minorHAnsi"/>
          <w:color w:val="000000" w:themeColor="text1"/>
          <w:szCs w:val="24"/>
        </w:rPr>
        <w:t>videomonitoramento</w:t>
      </w:r>
      <w:proofErr w:type="spellEnd"/>
      <w:r w:rsidR="00365C1E" w:rsidRPr="00855470">
        <w:rPr>
          <w:rFonts w:asciiTheme="majorHAnsi" w:hAnsiTheme="majorHAnsi" w:cstheme="minorHAnsi"/>
          <w:color w:val="000000" w:themeColor="text1"/>
          <w:szCs w:val="24"/>
        </w:rPr>
        <w:t xml:space="preserve"> no município, tornando-se-necessária </w:t>
      </w:r>
      <w:proofErr w:type="gramStart"/>
      <w:r w:rsidR="00365C1E">
        <w:rPr>
          <w:rFonts w:asciiTheme="majorHAnsi" w:hAnsiTheme="majorHAnsi" w:cstheme="minorHAnsi"/>
          <w:color w:val="000000" w:themeColor="text1"/>
          <w:szCs w:val="24"/>
        </w:rPr>
        <w:t>a</w:t>
      </w:r>
      <w:proofErr w:type="gramEnd"/>
      <w:r w:rsidR="00365C1E" w:rsidRPr="00855470">
        <w:rPr>
          <w:rFonts w:asciiTheme="majorHAnsi" w:hAnsiTheme="majorHAnsi" w:cstheme="minorHAnsi"/>
          <w:color w:val="000000" w:themeColor="text1"/>
          <w:szCs w:val="24"/>
        </w:rPr>
        <w:t xml:space="preserve"> aquisição dos referidos equipamentos.</w:t>
      </w:r>
    </w:p>
    <w:p w14:paraId="18AE9A10" w14:textId="730061C4" w:rsidR="00AF54CF" w:rsidRPr="00855470" w:rsidRDefault="00AF54CF" w:rsidP="00D216AF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>O</w:t>
      </w:r>
      <w:r w:rsidR="00E73CD6" w:rsidRPr="00855470">
        <w:rPr>
          <w:rFonts w:asciiTheme="majorHAnsi" w:hAnsiTheme="majorHAnsi" w:cstheme="minorHAnsi"/>
          <w:color w:val="000000" w:themeColor="text1"/>
          <w:szCs w:val="24"/>
        </w:rPr>
        <w:t xml:space="preserve"> artigo 1° define o valor do crédito a ser aberto, juntamente com as </w:t>
      </w:r>
      <w:r w:rsidR="00855470">
        <w:rPr>
          <w:rFonts w:asciiTheme="majorHAnsi" w:hAnsiTheme="majorHAnsi" w:cstheme="minorHAnsi"/>
          <w:color w:val="000000" w:themeColor="text1"/>
          <w:szCs w:val="24"/>
        </w:rPr>
        <w:t>dotações</w:t>
      </w:r>
      <w:r w:rsidR="00E73CD6" w:rsidRPr="00855470">
        <w:rPr>
          <w:rFonts w:asciiTheme="majorHAnsi" w:hAnsiTheme="majorHAnsi" w:cstheme="minorHAnsi"/>
          <w:color w:val="000000" w:themeColor="text1"/>
          <w:szCs w:val="24"/>
        </w:rPr>
        <w:t xml:space="preserve"> a serem utilizadas.</w:t>
      </w:r>
    </w:p>
    <w:p w14:paraId="08909D51" w14:textId="10DAAE5A" w:rsidR="00E73CD6" w:rsidRPr="00855470" w:rsidRDefault="00E73CD6" w:rsidP="00D216AF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Insta mencionar que essa Assessoria não tem meios de verificar se de fato as </w:t>
      </w:r>
      <w:r w:rsidR="00355006" w:rsidRPr="00855470">
        <w:rPr>
          <w:rFonts w:asciiTheme="majorHAnsi" w:hAnsiTheme="majorHAnsi" w:cstheme="minorHAnsi"/>
          <w:color w:val="000000" w:themeColor="text1"/>
          <w:szCs w:val="24"/>
        </w:rPr>
        <w:t>dotações elencadas no Projeto encontram-se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 corretas</w:t>
      </w:r>
      <w:r w:rsidR="00855470">
        <w:rPr>
          <w:rFonts w:asciiTheme="majorHAnsi" w:hAnsiTheme="majorHAnsi" w:cstheme="minorHAnsi"/>
          <w:color w:val="000000" w:themeColor="text1"/>
          <w:szCs w:val="24"/>
        </w:rPr>
        <w:t xml:space="preserve"> (o código das mesmas)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>, por isso, in</w:t>
      </w:r>
      <w:r w:rsidR="00637C52" w:rsidRPr="00855470">
        <w:rPr>
          <w:rFonts w:asciiTheme="majorHAnsi" w:hAnsiTheme="majorHAnsi" w:cstheme="minorHAnsi"/>
          <w:color w:val="000000" w:themeColor="text1"/>
          <w:szCs w:val="24"/>
        </w:rPr>
        <w:t>dico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 que</w:t>
      </w:r>
      <w:r w:rsidR="00637C52" w:rsidRPr="00855470">
        <w:rPr>
          <w:rFonts w:asciiTheme="majorHAnsi" w:hAnsiTheme="majorHAnsi" w:cstheme="minorHAnsi"/>
          <w:color w:val="000000" w:themeColor="text1"/>
          <w:szCs w:val="24"/>
        </w:rPr>
        <w:t xml:space="preserve"> sejam analisadas pela assessoria contábil.</w:t>
      </w:r>
    </w:p>
    <w:p w14:paraId="3EB99C19" w14:textId="77777777" w:rsidR="00855470" w:rsidRDefault="00E73CD6" w:rsidP="00355006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 xml:space="preserve">O artigo 2° define </w:t>
      </w:r>
      <w:r w:rsidR="00355006" w:rsidRPr="00855470">
        <w:rPr>
          <w:rFonts w:asciiTheme="majorHAnsi" w:hAnsiTheme="majorHAnsi" w:cstheme="minorHAnsi"/>
          <w:color w:val="000000" w:themeColor="text1"/>
          <w:szCs w:val="24"/>
        </w:rPr>
        <w:t xml:space="preserve">a fonte de recurso a ser utilizada, como mencionado acima, o superávit financeiro, estabelecido na Lei 4.320, parágrafo 1°, inciso I a IV. </w:t>
      </w:r>
    </w:p>
    <w:p w14:paraId="145A1E4E" w14:textId="71A6418C" w:rsidR="007E08B4" w:rsidRPr="00855470" w:rsidRDefault="00355006" w:rsidP="00355006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>Já o artigo 3°, autoriza o executivo a suplementar o crédito em até 25% do seu montante legal, o artigo 4° inclui esse crédito na Lei de Diretrizes Orçamentárias e no PPA para 2022</w:t>
      </w:r>
      <w:r w:rsidR="00D13D99" w:rsidRPr="00855470">
        <w:rPr>
          <w:rFonts w:asciiTheme="majorHAnsi" w:hAnsiTheme="majorHAnsi" w:cstheme="minorHAnsi"/>
          <w:color w:val="000000" w:themeColor="text1"/>
          <w:szCs w:val="24"/>
        </w:rPr>
        <w:t xml:space="preserve"> a 2025, cumprindo o que estabelece o artigo 169 da LOM.</w:t>
      </w:r>
    </w:p>
    <w:p w14:paraId="7AB4F349" w14:textId="77F6492A" w:rsidR="007E08B4" w:rsidRPr="00855470" w:rsidRDefault="00855470" w:rsidP="00355006">
      <w:pPr>
        <w:spacing w:after="0" w:line="360" w:lineRule="auto"/>
        <w:ind w:firstLine="708"/>
        <w:rPr>
          <w:rFonts w:asciiTheme="majorHAnsi" w:hAnsiTheme="majorHAnsi"/>
          <w:color w:val="000000" w:themeColor="text1"/>
          <w:szCs w:val="24"/>
        </w:rPr>
      </w:pPr>
      <w:r>
        <w:rPr>
          <w:rFonts w:asciiTheme="majorHAnsi" w:hAnsiTheme="majorHAnsi" w:cstheme="minorHAnsi"/>
          <w:color w:val="000000" w:themeColor="text1"/>
          <w:szCs w:val="24"/>
        </w:rPr>
        <w:t>Sendo assim</w:t>
      </w:r>
      <w:r w:rsidR="00D13D99" w:rsidRPr="00855470">
        <w:rPr>
          <w:rFonts w:asciiTheme="majorHAnsi" w:hAnsiTheme="majorHAnsi" w:cstheme="minorHAnsi"/>
          <w:color w:val="000000" w:themeColor="text1"/>
          <w:szCs w:val="24"/>
        </w:rPr>
        <w:t xml:space="preserve">, conforme </w:t>
      </w:r>
      <w:r w:rsidR="007E08B4" w:rsidRPr="00855470">
        <w:rPr>
          <w:rFonts w:asciiTheme="majorHAnsi" w:hAnsiTheme="majorHAnsi" w:cstheme="minorHAnsi"/>
          <w:color w:val="000000" w:themeColor="text1"/>
          <w:szCs w:val="24"/>
        </w:rPr>
        <w:t xml:space="preserve">corrobora o artigo </w:t>
      </w:r>
      <w:r w:rsidR="007E08B4" w:rsidRPr="00855470">
        <w:rPr>
          <w:rFonts w:asciiTheme="majorHAnsi" w:hAnsiTheme="majorHAnsi"/>
          <w:color w:val="000000" w:themeColor="text1"/>
          <w:szCs w:val="24"/>
        </w:rPr>
        <w:t>Art. 123 da LOM, os atos administrativos de competência do Prefeito devem ser expedidos com observância da abertura de créditos especiais e suplementares, até o limite autorizado por lei, assim como de créditos extraordinários, portando, a suplementação em até 25% encontra amparo legal nas leis orçamentárias do município.</w:t>
      </w:r>
    </w:p>
    <w:p w14:paraId="59F8973D" w14:textId="57372CA5" w:rsidR="00D216AF" w:rsidRPr="00855470" w:rsidRDefault="000E06B2" w:rsidP="00D216AF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>A</w:t>
      </w:r>
      <w:r w:rsidR="00D216AF" w:rsidRPr="00855470">
        <w:rPr>
          <w:rFonts w:asciiTheme="majorHAnsi" w:hAnsiTheme="majorHAnsi" w:cstheme="minorHAnsi"/>
          <w:color w:val="000000" w:themeColor="text1"/>
          <w:szCs w:val="24"/>
        </w:rPr>
        <w:t xml:space="preserve"> contrapartida de recursos será o </w:t>
      </w:r>
      <w:r w:rsidR="00F526FD" w:rsidRPr="00855470">
        <w:rPr>
          <w:rFonts w:asciiTheme="majorHAnsi" w:hAnsiTheme="majorHAnsi" w:cstheme="minorHAnsi"/>
          <w:color w:val="000000" w:themeColor="text1"/>
          <w:szCs w:val="24"/>
        </w:rPr>
        <w:t>superávit financeiro</w:t>
      </w:r>
      <w:r w:rsidR="00D216AF" w:rsidRPr="00855470">
        <w:rPr>
          <w:rFonts w:asciiTheme="majorHAnsi" w:hAnsiTheme="majorHAnsi" w:cstheme="minorHAnsi"/>
          <w:color w:val="000000" w:themeColor="text1"/>
          <w:szCs w:val="24"/>
        </w:rPr>
        <w:t>, portanto, trata-se de um crédi</w:t>
      </w:r>
      <w:r w:rsidR="00F526FD" w:rsidRPr="00855470">
        <w:rPr>
          <w:rFonts w:asciiTheme="majorHAnsi" w:hAnsiTheme="majorHAnsi" w:cstheme="minorHAnsi"/>
          <w:color w:val="000000" w:themeColor="text1"/>
          <w:szCs w:val="24"/>
        </w:rPr>
        <w:t xml:space="preserve">to especial amparado legalmente, 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>conforme</w:t>
      </w:r>
      <w:r w:rsidR="00C25C47" w:rsidRPr="00855470">
        <w:rPr>
          <w:rFonts w:asciiTheme="majorHAnsi" w:hAnsiTheme="majorHAnsi" w:cstheme="minorHAnsi"/>
          <w:color w:val="000000" w:themeColor="text1"/>
          <w:szCs w:val="24"/>
        </w:rPr>
        <w:t xml:space="preserve"> o disposto na Lei 4</w:t>
      </w:r>
      <w:r w:rsidRPr="00855470">
        <w:rPr>
          <w:rFonts w:asciiTheme="majorHAnsi" w:hAnsiTheme="majorHAnsi" w:cstheme="minorHAnsi"/>
          <w:color w:val="000000" w:themeColor="text1"/>
          <w:szCs w:val="24"/>
        </w:rPr>
        <w:t>.</w:t>
      </w:r>
      <w:r w:rsidR="00C25C47" w:rsidRPr="00855470">
        <w:rPr>
          <w:rFonts w:asciiTheme="majorHAnsi" w:hAnsiTheme="majorHAnsi" w:cstheme="minorHAnsi"/>
          <w:color w:val="000000" w:themeColor="text1"/>
          <w:szCs w:val="24"/>
        </w:rPr>
        <w:t>320/64</w:t>
      </w:r>
      <w:r w:rsidR="00F526FD" w:rsidRPr="00855470">
        <w:rPr>
          <w:rFonts w:asciiTheme="majorHAnsi" w:hAnsiTheme="majorHAnsi" w:cstheme="minorHAnsi"/>
          <w:color w:val="000000" w:themeColor="text1"/>
          <w:szCs w:val="24"/>
        </w:rPr>
        <w:t>:</w:t>
      </w:r>
    </w:p>
    <w:p w14:paraId="359F8848" w14:textId="21843B60" w:rsidR="00F526FD" w:rsidRPr="00F526FD" w:rsidRDefault="00F526FD" w:rsidP="000E06B2">
      <w:pPr>
        <w:spacing w:after="0" w:line="240" w:lineRule="auto"/>
        <w:ind w:left="2268"/>
        <w:contextualSpacing w:val="0"/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</w:pPr>
      <w:r w:rsidRPr="00855470">
        <w:rPr>
          <w:rFonts w:asciiTheme="majorHAnsi" w:eastAsia="Times New Roman" w:hAnsiTheme="majorHAnsi" w:cs="Segoe UI"/>
          <w:b/>
          <w:bCs/>
          <w:color w:val="000000" w:themeColor="text1"/>
          <w:szCs w:val="24"/>
          <w:lang w:eastAsia="pt-BR"/>
        </w:rPr>
        <w:t>Art. 43.</w:t>
      </w:r>
      <w:r w:rsidRPr="00F526FD"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  <w:t xml:space="preserve"> A abertura dos créditos suplementares e especiais depende da existência de recursos disponíveis para ocorrer </w:t>
      </w:r>
      <w:proofErr w:type="gramStart"/>
      <w:r w:rsidRPr="00F526FD"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  <w:t>a</w:t>
      </w:r>
      <w:proofErr w:type="gramEnd"/>
      <w:r w:rsidRPr="00F526FD"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  <w:t xml:space="preserve"> despesa e será precedida de exposição justificativa. </w:t>
      </w:r>
    </w:p>
    <w:p w14:paraId="443BF837" w14:textId="2C6282A4" w:rsidR="00F526FD" w:rsidRPr="00F526FD" w:rsidRDefault="00F526FD" w:rsidP="000E06B2">
      <w:pPr>
        <w:spacing w:after="0" w:line="240" w:lineRule="auto"/>
        <w:ind w:left="2268"/>
        <w:contextualSpacing w:val="0"/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</w:pPr>
      <w:r w:rsidRPr="00855470">
        <w:rPr>
          <w:rFonts w:asciiTheme="majorHAnsi" w:eastAsia="Times New Roman" w:hAnsiTheme="majorHAnsi" w:cs="Segoe UI"/>
          <w:b/>
          <w:bCs/>
          <w:color w:val="000000" w:themeColor="text1"/>
          <w:szCs w:val="24"/>
          <w:lang w:eastAsia="pt-BR"/>
        </w:rPr>
        <w:t>§ 1º</w:t>
      </w:r>
      <w:r w:rsidRPr="00F526FD"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  <w:t> Consideram-se recursos para o fim deste artigo, desde que não comprometidos</w:t>
      </w:r>
      <w:r w:rsidR="00637C52" w:rsidRPr="00855470"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  <w:t>.</w:t>
      </w:r>
    </w:p>
    <w:p w14:paraId="4BAE2973" w14:textId="77777777" w:rsidR="00F526FD" w:rsidRPr="00F526FD" w:rsidRDefault="00F526FD" w:rsidP="000E06B2">
      <w:pPr>
        <w:spacing w:after="0" w:line="240" w:lineRule="auto"/>
        <w:ind w:left="2268"/>
        <w:contextualSpacing w:val="0"/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</w:pPr>
      <w:r w:rsidRPr="00855470">
        <w:rPr>
          <w:rFonts w:asciiTheme="majorHAnsi" w:eastAsia="Times New Roman" w:hAnsiTheme="majorHAnsi" w:cs="Segoe UI"/>
          <w:b/>
          <w:bCs/>
          <w:color w:val="000000" w:themeColor="text1"/>
          <w:szCs w:val="24"/>
          <w:lang w:eastAsia="pt-BR"/>
        </w:rPr>
        <w:t>I</w:t>
      </w:r>
      <w:r w:rsidRPr="00F526FD"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  <w:t xml:space="preserve"> - o </w:t>
      </w:r>
      <w:r w:rsidRPr="00F526FD">
        <w:rPr>
          <w:rFonts w:asciiTheme="majorHAnsi" w:eastAsia="Times New Roman" w:hAnsiTheme="majorHAnsi" w:cs="Segoe UI"/>
          <w:b/>
          <w:color w:val="000000" w:themeColor="text1"/>
          <w:szCs w:val="24"/>
          <w:u w:val="single"/>
          <w:lang w:eastAsia="pt-BR"/>
        </w:rPr>
        <w:t>superávit financeiro</w:t>
      </w:r>
      <w:r w:rsidRPr="00F526FD"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  <w:t xml:space="preserve"> apurado em balanço patrimonial do exercício anterior; (Veto rejeitado no D.O. 05/05/1964</w:t>
      </w:r>
      <w:proofErr w:type="gramStart"/>
      <w:r w:rsidRPr="00F526FD">
        <w:rPr>
          <w:rFonts w:asciiTheme="majorHAnsi" w:eastAsia="Times New Roman" w:hAnsiTheme="majorHAnsi" w:cs="Segoe UI"/>
          <w:color w:val="000000" w:themeColor="text1"/>
          <w:szCs w:val="24"/>
          <w:lang w:eastAsia="pt-BR"/>
        </w:rPr>
        <w:t>)</w:t>
      </w:r>
      <w:proofErr w:type="gramEnd"/>
    </w:p>
    <w:p w14:paraId="637734B9" w14:textId="4DBBBA11" w:rsidR="00F526FD" w:rsidRPr="00855470" w:rsidRDefault="00637C52" w:rsidP="000E06B2">
      <w:pPr>
        <w:spacing w:after="0" w:line="240" w:lineRule="auto"/>
        <w:ind w:left="226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lastRenderedPageBreak/>
        <w:t>(...)</w:t>
      </w:r>
    </w:p>
    <w:p w14:paraId="6BD2AB80" w14:textId="5A3A8878" w:rsidR="00D216AF" w:rsidRPr="00855470" w:rsidRDefault="00637C52" w:rsidP="000E06B2">
      <w:pPr>
        <w:spacing w:after="0" w:line="240" w:lineRule="auto"/>
        <w:ind w:left="2268"/>
        <w:rPr>
          <w:rFonts w:asciiTheme="majorHAnsi" w:hAnsiTheme="majorHAnsi" w:cs="Segoe UI"/>
          <w:color w:val="000000" w:themeColor="text1"/>
          <w:szCs w:val="24"/>
          <w:shd w:val="clear" w:color="auto" w:fill="FFFFFF"/>
        </w:rPr>
      </w:pPr>
      <w:r w:rsidRPr="00855470">
        <w:rPr>
          <w:rStyle w:val="Forte"/>
          <w:rFonts w:asciiTheme="majorHAnsi" w:hAnsiTheme="majorHAnsi" w:cs="Segoe UI"/>
          <w:color w:val="000000" w:themeColor="text1"/>
          <w:szCs w:val="24"/>
          <w:shd w:val="clear" w:color="auto" w:fill="FFFFFF"/>
        </w:rPr>
        <w:t>§ 2º</w:t>
      </w:r>
      <w:r w:rsidRPr="00855470">
        <w:rPr>
          <w:rFonts w:asciiTheme="majorHAnsi" w:hAnsiTheme="majorHAnsi" w:cs="Segoe UI"/>
          <w:color w:val="000000" w:themeColor="text1"/>
          <w:szCs w:val="24"/>
          <w:shd w:val="clear" w:color="auto" w:fill="FFFFFF"/>
        </w:rPr>
        <w:t xml:space="preserve"> Entende-se por </w:t>
      </w:r>
      <w:r w:rsidRPr="00855470">
        <w:rPr>
          <w:rFonts w:asciiTheme="majorHAnsi" w:hAnsiTheme="majorHAnsi" w:cs="Segoe UI"/>
          <w:b/>
          <w:color w:val="000000" w:themeColor="text1"/>
          <w:szCs w:val="24"/>
          <w:shd w:val="clear" w:color="auto" w:fill="FFFFFF"/>
        </w:rPr>
        <w:t>superávit financeiro</w:t>
      </w:r>
      <w:r w:rsidRPr="00855470">
        <w:rPr>
          <w:rFonts w:asciiTheme="majorHAnsi" w:hAnsiTheme="majorHAnsi" w:cs="Segoe UI"/>
          <w:color w:val="000000" w:themeColor="text1"/>
          <w:szCs w:val="24"/>
          <w:shd w:val="clear" w:color="auto" w:fill="FFFFFF"/>
        </w:rPr>
        <w:t xml:space="preserve"> a diferença positiva entre o ativo financeiro e o passivo financeiro, conjugando-se, ainda, os saldos dos créditos adicionais transferidos e as operações de credito a eles vinculadas. </w:t>
      </w:r>
    </w:p>
    <w:p w14:paraId="2C9F50D6" w14:textId="77777777" w:rsidR="00C25C47" w:rsidRPr="00855470" w:rsidRDefault="00C25C47" w:rsidP="00D216AF">
      <w:pPr>
        <w:spacing w:after="0" w:line="360" w:lineRule="auto"/>
        <w:ind w:left="2268"/>
        <w:rPr>
          <w:rFonts w:asciiTheme="majorHAnsi" w:hAnsiTheme="majorHAnsi" w:cs="Segoe UI"/>
          <w:color w:val="000000" w:themeColor="text1"/>
          <w:szCs w:val="24"/>
          <w:shd w:val="clear" w:color="auto" w:fill="FFFFFF"/>
        </w:rPr>
      </w:pPr>
    </w:p>
    <w:p w14:paraId="745CB381" w14:textId="494CAB70" w:rsidR="00C25C47" w:rsidRDefault="00C25C47" w:rsidP="00365C1E">
      <w:pPr>
        <w:spacing w:after="0" w:line="360" w:lineRule="auto"/>
        <w:ind w:firstLine="70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color w:val="000000" w:themeColor="text1"/>
          <w:szCs w:val="24"/>
        </w:rPr>
        <w:t xml:space="preserve">Cabe ressaltar, que os créditos adicionais, uma vez </w:t>
      </w:r>
      <w:proofErr w:type="gramStart"/>
      <w:r w:rsidRPr="00855470">
        <w:rPr>
          <w:rFonts w:asciiTheme="majorHAnsi" w:hAnsiTheme="majorHAnsi"/>
          <w:color w:val="000000" w:themeColor="text1"/>
          <w:szCs w:val="24"/>
        </w:rPr>
        <w:t>aprovados</w:t>
      </w:r>
      <w:proofErr w:type="gramEnd"/>
      <w:r w:rsidRPr="00855470">
        <w:rPr>
          <w:rFonts w:asciiTheme="majorHAnsi" w:hAnsiTheme="majorHAnsi"/>
          <w:color w:val="000000" w:themeColor="text1"/>
          <w:szCs w:val="24"/>
        </w:rPr>
        <w:t>, incorporam-se ao o</w:t>
      </w:r>
      <w:r w:rsidR="000E06B2" w:rsidRPr="00855470">
        <w:rPr>
          <w:rFonts w:asciiTheme="majorHAnsi" w:hAnsiTheme="majorHAnsi"/>
          <w:color w:val="000000" w:themeColor="text1"/>
          <w:szCs w:val="24"/>
        </w:rPr>
        <w:t>rçamento do exercício, c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onforme </w:t>
      </w:r>
      <w:r w:rsidR="000E06B2" w:rsidRPr="00855470">
        <w:rPr>
          <w:rFonts w:asciiTheme="majorHAnsi" w:hAnsiTheme="majorHAnsi"/>
          <w:color w:val="000000" w:themeColor="text1"/>
          <w:szCs w:val="24"/>
        </w:rPr>
        <w:t xml:space="preserve">define o 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artigo 43 </w:t>
      </w:r>
      <w:r w:rsidR="000E06B2" w:rsidRPr="00855470">
        <w:rPr>
          <w:rFonts w:asciiTheme="majorHAnsi" w:hAnsiTheme="majorHAnsi"/>
          <w:color w:val="000000" w:themeColor="text1"/>
          <w:szCs w:val="24"/>
        </w:rPr>
        <w:t>da lei 4.320/64</w:t>
      </w:r>
      <w:r w:rsidRPr="00855470">
        <w:rPr>
          <w:rFonts w:asciiTheme="majorHAnsi" w:hAnsiTheme="majorHAnsi"/>
          <w:color w:val="000000" w:themeColor="text1"/>
          <w:szCs w:val="24"/>
        </w:rPr>
        <w:t>, que dispões que os créditos adicionais terão vigência adstrita ao exercício financeiro em que forem abertos, salvo expressa disposição legal em contrário, quanto aos especiais e extraordinários).</w:t>
      </w:r>
    </w:p>
    <w:p w14:paraId="6788C8A6" w14:textId="3EC888BA" w:rsidR="004D0690" w:rsidRPr="00855470" w:rsidRDefault="004D0690" w:rsidP="00365C1E">
      <w:pPr>
        <w:spacing w:after="0" w:line="360" w:lineRule="auto"/>
        <w:ind w:firstLine="708"/>
        <w:rPr>
          <w:rFonts w:asciiTheme="majorHAnsi" w:hAnsiTheme="majorHAnsi"/>
          <w:color w:val="000000" w:themeColor="text1"/>
          <w:szCs w:val="24"/>
        </w:rPr>
      </w:pPr>
      <w:r>
        <w:rPr>
          <w:rFonts w:asciiTheme="majorHAnsi" w:hAnsiTheme="majorHAnsi"/>
          <w:color w:val="000000" w:themeColor="text1"/>
          <w:szCs w:val="24"/>
        </w:rPr>
        <w:t>O artigo 167 da Constituição Federal dispõe que:</w:t>
      </w:r>
    </w:p>
    <w:p w14:paraId="28B9A9AC" w14:textId="0512D06D" w:rsidR="00637C52" w:rsidRPr="00855470" w:rsidRDefault="00637C52" w:rsidP="000E06B2">
      <w:pPr>
        <w:spacing w:after="0" w:line="240" w:lineRule="auto"/>
        <w:ind w:left="226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b/>
          <w:color w:val="000000" w:themeColor="text1"/>
          <w:szCs w:val="24"/>
        </w:rPr>
        <w:t>Art.</w:t>
      </w:r>
      <w:r w:rsidR="000E06B2" w:rsidRPr="00855470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 w:rsidRPr="00855470">
        <w:rPr>
          <w:rFonts w:asciiTheme="majorHAnsi" w:hAnsiTheme="majorHAnsi"/>
          <w:b/>
          <w:color w:val="000000" w:themeColor="text1"/>
          <w:szCs w:val="24"/>
        </w:rPr>
        <w:t>167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 – São vedados: </w:t>
      </w:r>
    </w:p>
    <w:p w14:paraId="7DED1E3C" w14:textId="242AF960" w:rsidR="00637C52" w:rsidRPr="00855470" w:rsidRDefault="0020076A" w:rsidP="000E06B2">
      <w:pPr>
        <w:spacing w:after="0" w:line="240" w:lineRule="auto"/>
        <w:ind w:left="226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color w:val="000000" w:themeColor="text1"/>
          <w:szCs w:val="24"/>
        </w:rPr>
        <w:t xml:space="preserve">V – a abertura de </w:t>
      </w:r>
      <w:r w:rsidRPr="00855470">
        <w:rPr>
          <w:rFonts w:asciiTheme="majorHAnsi" w:hAnsiTheme="majorHAnsi"/>
          <w:b/>
          <w:color w:val="000000" w:themeColor="text1"/>
          <w:szCs w:val="24"/>
          <w:u w:val="single"/>
        </w:rPr>
        <w:t>crédito suplementar ou especial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 sem prévia autorização legislativa e sem indicação dos recursos correspondentes;</w:t>
      </w:r>
    </w:p>
    <w:p w14:paraId="0C5A3E04" w14:textId="77777777" w:rsidR="000E06B2" w:rsidRDefault="000E06B2" w:rsidP="00637C52">
      <w:pPr>
        <w:spacing w:after="0" w:line="360" w:lineRule="auto"/>
        <w:ind w:left="2268"/>
        <w:rPr>
          <w:rFonts w:asciiTheme="majorHAnsi" w:hAnsiTheme="majorHAnsi"/>
          <w:color w:val="000000" w:themeColor="text1"/>
          <w:szCs w:val="24"/>
        </w:rPr>
      </w:pPr>
    </w:p>
    <w:p w14:paraId="6D425B95" w14:textId="044A3FC0" w:rsidR="000E06B2" w:rsidRPr="004D0690" w:rsidRDefault="004D0690" w:rsidP="004D0690">
      <w:pPr>
        <w:spacing w:after="0" w:line="360" w:lineRule="auto"/>
        <w:ind w:firstLine="708"/>
        <w:rPr>
          <w:rFonts w:asciiTheme="majorHAnsi" w:hAnsiTheme="majorHAnsi"/>
          <w:color w:val="000000" w:themeColor="text1"/>
          <w:szCs w:val="24"/>
        </w:rPr>
      </w:pPr>
      <w:r>
        <w:rPr>
          <w:rFonts w:asciiTheme="majorHAnsi" w:hAnsiTheme="majorHAnsi"/>
          <w:color w:val="000000" w:themeColor="text1"/>
          <w:szCs w:val="24"/>
        </w:rPr>
        <w:t>Nesse sentido, para que a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 matéria do PL </w:t>
      </w:r>
      <w:r>
        <w:rPr>
          <w:rFonts w:asciiTheme="majorHAnsi" w:hAnsiTheme="majorHAnsi"/>
          <w:color w:val="000000" w:themeColor="text1"/>
          <w:szCs w:val="24"/>
        </w:rPr>
        <w:t>se adeque à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 Lei nº. 4.320/64 (</w:t>
      </w:r>
      <w:r w:rsidRPr="00855470">
        <w:rPr>
          <w:rFonts w:asciiTheme="majorHAnsi" w:hAnsiTheme="majorHAnsi" w:cs="Arial"/>
          <w:color w:val="000000" w:themeColor="text1"/>
          <w:szCs w:val="24"/>
          <w:shd w:val="clear" w:color="auto" w:fill="FFFFFF"/>
        </w:rPr>
        <w:t>Lei que Estatui Normas Gerais de Direito Financeiro para elaboração e controle dos orçamentos e balanços da União, dos Estados, dos Municípios e do Distrito Federal)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, </w:t>
      </w:r>
      <w:r w:rsidR="000E06B2" w:rsidRPr="00855470">
        <w:rPr>
          <w:rFonts w:asciiTheme="majorHAnsi" w:hAnsiTheme="majorHAnsi" w:cstheme="minorHAnsi"/>
          <w:color w:val="000000" w:themeColor="text1"/>
          <w:szCs w:val="24"/>
        </w:rPr>
        <w:t xml:space="preserve">não basta a simples alegação do Prefeito quanto à existência do superávit financeiro, sendo </w:t>
      </w:r>
      <w:r w:rsidR="00877284" w:rsidRPr="00855470">
        <w:rPr>
          <w:rFonts w:asciiTheme="majorHAnsi" w:hAnsiTheme="majorHAnsi" w:cstheme="minorHAnsi"/>
          <w:color w:val="000000" w:themeColor="text1"/>
          <w:szCs w:val="24"/>
        </w:rPr>
        <w:t>necessária a demonstração documental do saldo excedente no exercício de 2021 na fonte de recursos mencionada</w:t>
      </w:r>
      <w:r w:rsidR="000E06B2" w:rsidRPr="00855470">
        <w:rPr>
          <w:rFonts w:asciiTheme="majorHAnsi" w:hAnsiTheme="majorHAnsi" w:cstheme="minorHAnsi"/>
          <w:color w:val="000000" w:themeColor="text1"/>
          <w:szCs w:val="24"/>
        </w:rPr>
        <w:t>.</w:t>
      </w:r>
    </w:p>
    <w:p w14:paraId="1FADAA00" w14:textId="33414FEA" w:rsidR="0020076A" w:rsidRDefault="0020076A" w:rsidP="0020076A">
      <w:pPr>
        <w:spacing w:after="0" w:line="360" w:lineRule="auto"/>
        <w:ind w:firstLine="70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color w:val="000000" w:themeColor="text1"/>
          <w:szCs w:val="24"/>
        </w:rPr>
        <w:t>O artigo. 43, § 1º, inciso I da Lei nº 4320/64 preceitua a comprovação do superávit através do Balanço Patrimonial. Tal documento não fora anexado, a fim de comprovar o saldo existente, o Relatório da Execução Orçamentária – Balancete Financeiro por Fonte de Recurso, portanto, sugiro que o mesmo seja requerido ao executivo.</w:t>
      </w:r>
    </w:p>
    <w:p w14:paraId="1D59C546" w14:textId="77777777" w:rsidR="00365C1E" w:rsidRPr="00855470" w:rsidRDefault="00365C1E" w:rsidP="0020076A">
      <w:pPr>
        <w:spacing w:after="0" w:line="360" w:lineRule="auto"/>
        <w:ind w:firstLine="708"/>
        <w:rPr>
          <w:rFonts w:asciiTheme="majorHAnsi" w:hAnsiTheme="majorHAnsi"/>
          <w:color w:val="000000" w:themeColor="text1"/>
          <w:szCs w:val="24"/>
        </w:rPr>
      </w:pPr>
    </w:p>
    <w:p w14:paraId="0936ACEA" w14:textId="49D6DDA0" w:rsidR="00C82FBE" w:rsidRPr="00855470" w:rsidRDefault="00C82FBE" w:rsidP="00877284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b/>
          <w:color w:val="000000" w:themeColor="text1"/>
          <w:szCs w:val="24"/>
        </w:rPr>
        <w:t>CONCLUSÃO</w:t>
      </w:r>
    </w:p>
    <w:p w14:paraId="1DA954A1" w14:textId="590F1125" w:rsidR="00C82FBE" w:rsidRPr="00855470" w:rsidRDefault="00C82FBE" w:rsidP="00C82FBE">
      <w:pPr>
        <w:spacing w:after="0" w:line="360" w:lineRule="auto"/>
        <w:ind w:firstLine="708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color w:val="000000" w:themeColor="text1"/>
          <w:szCs w:val="24"/>
        </w:rPr>
        <w:t xml:space="preserve">Diante do exposto, não vislumbro óbice ao pretendido, </w:t>
      </w:r>
      <w:r w:rsidR="00855470">
        <w:rPr>
          <w:rFonts w:asciiTheme="majorHAnsi" w:hAnsiTheme="majorHAnsi"/>
          <w:color w:val="000000" w:themeColor="text1"/>
          <w:szCs w:val="24"/>
        </w:rPr>
        <w:t xml:space="preserve">já que o PL é tecnicamente legal, além do fato de </w:t>
      </w:r>
      <w:r w:rsidRPr="00855470">
        <w:rPr>
          <w:rFonts w:asciiTheme="majorHAnsi" w:hAnsiTheme="majorHAnsi"/>
          <w:color w:val="000000" w:themeColor="text1"/>
          <w:szCs w:val="24"/>
        </w:rPr>
        <w:t xml:space="preserve">que o respeito ao limite de abertura de créditos orçamentários suplementares é de responsabilidade do Executivo Municipal, cabendo a este responder perante o Egrégio Tribunal de Contas do Estado por eventual excesso. </w:t>
      </w:r>
    </w:p>
    <w:p w14:paraId="14B2F2A5" w14:textId="6981FD64" w:rsidR="00D216AF" w:rsidRPr="00855470" w:rsidRDefault="00C82FBE" w:rsidP="00C82FBE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/>
          <w:color w:val="000000" w:themeColor="text1"/>
          <w:szCs w:val="24"/>
        </w:rPr>
        <w:lastRenderedPageBreak/>
        <w:t>Entretanto, considerando a falta de documentação fornecida, dentre elas o balanço patrimonial, juntamente com o parecer contábil, sugiro que a referida documentação seja requerida e providenciada para que os nobres vereadores possam ter mais segurança em relação à aprovação do mesmo.</w:t>
      </w:r>
    </w:p>
    <w:p w14:paraId="751B26DA" w14:textId="77777777" w:rsidR="00D216AF" w:rsidRPr="00855470" w:rsidRDefault="00D216AF" w:rsidP="00D216AF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</w:p>
    <w:p w14:paraId="2DAE816B" w14:textId="77777777" w:rsidR="00D216AF" w:rsidRPr="00855470" w:rsidRDefault="00D216AF" w:rsidP="00D216AF">
      <w:pPr>
        <w:spacing w:after="0" w:line="360" w:lineRule="auto"/>
        <w:ind w:firstLine="708"/>
        <w:rPr>
          <w:rFonts w:asciiTheme="majorHAnsi" w:hAnsiTheme="majorHAnsi" w:cstheme="minorHAnsi"/>
          <w:color w:val="000000" w:themeColor="text1"/>
          <w:szCs w:val="24"/>
        </w:rPr>
      </w:pPr>
      <w:r w:rsidRPr="00855470">
        <w:rPr>
          <w:rFonts w:asciiTheme="majorHAnsi" w:hAnsiTheme="majorHAnsi" w:cstheme="minorHAnsi"/>
          <w:color w:val="000000" w:themeColor="text1"/>
          <w:szCs w:val="24"/>
        </w:rPr>
        <w:t>Eis o parecer.</w:t>
      </w:r>
    </w:p>
    <w:p w14:paraId="1DF1A412" w14:textId="77777777" w:rsidR="00D216AF" w:rsidRPr="00855470" w:rsidRDefault="00D216AF" w:rsidP="00D216AF">
      <w:pPr>
        <w:spacing w:after="0" w:line="360" w:lineRule="auto"/>
        <w:ind w:firstLine="708"/>
        <w:jc w:val="center"/>
        <w:rPr>
          <w:rFonts w:asciiTheme="majorHAnsi" w:hAnsiTheme="majorHAnsi" w:cstheme="minorHAnsi"/>
          <w:color w:val="000000" w:themeColor="text1"/>
          <w:szCs w:val="24"/>
        </w:rPr>
      </w:pPr>
    </w:p>
    <w:p w14:paraId="4134AFCA" w14:textId="7CB1B883" w:rsidR="00807CAC" w:rsidRPr="00855470" w:rsidRDefault="00807CAC" w:rsidP="00807CAC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85547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Bom Jardim de Minas-MG, </w:t>
      </w:r>
      <w:r w:rsidR="005035D7" w:rsidRPr="0085547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09 de maio</w:t>
      </w:r>
      <w:r w:rsidR="00301AEB" w:rsidRPr="0085547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de 2022.</w:t>
      </w:r>
    </w:p>
    <w:p w14:paraId="04CB4C08" w14:textId="6F8D2CCE" w:rsidR="003846AE" w:rsidRPr="00855470" w:rsidRDefault="003846AE" w:rsidP="00807CAC">
      <w:pPr>
        <w:pStyle w:val="TextosemFormatao1"/>
        <w:ind w:left="4253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</w:p>
    <w:p w14:paraId="41BD9551" w14:textId="01E9101D" w:rsidR="0068464D" w:rsidRPr="00855470" w:rsidRDefault="00310F1B" w:rsidP="0067036E">
      <w:pPr>
        <w:spacing w:line="360" w:lineRule="auto"/>
        <w:jc w:val="center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noProof/>
          <w:color w:val="000000" w:themeColor="text1"/>
          <w:szCs w:val="24"/>
          <w:lang w:eastAsia="pt-BR"/>
        </w:rPr>
        <w:drawing>
          <wp:inline distT="0" distB="0" distL="0" distR="0" wp14:anchorId="6F9785A9" wp14:editId="0B699731">
            <wp:extent cx="2238375" cy="102143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12" cy="10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855470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6019A" w14:textId="77777777" w:rsidR="00DC7FA1" w:rsidRDefault="00DC7FA1" w:rsidP="003A4A3B">
      <w:pPr>
        <w:spacing w:after="0" w:line="240" w:lineRule="auto"/>
      </w:pPr>
      <w:r>
        <w:separator/>
      </w:r>
    </w:p>
  </w:endnote>
  <w:endnote w:type="continuationSeparator" w:id="0">
    <w:p w14:paraId="35A83E5A" w14:textId="77777777" w:rsidR="00DC7FA1" w:rsidRDefault="00DC7FA1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D1383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381FA" w14:textId="77777777" w:rsidR="00DC7FA1" w:rsidRDefault="00DC7FA1" w:rsidP="003A4A3B">
      <w:pPr>
        <w:spacing w:after="0" w:line="240" w:lineRule="auto"/>
      </w:pPr>
      <w:r>
        <w:separator/>
      </w:r>
    </w:p>
  </w:footnote>
  <w:footnote w:type="continuationSeparator" w:id="0">
    <w:p w14:paraId="7EDE1660" w14:textId="77777777" w:rsidR="00DC7FA1" w:rsidRDefault="00DC7FA1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488A"/>
    <w:rsid w:val="00025F56"/>
    <w:rsid w:val="0002643E"/>
    <w:rsid w:val="00032818"/>
    <w:rsid w:val="0003601F"/>
    <w:rsid w:val="0003771E"/>
    <w:rsid w:val="00040CA9"/>
    <w:rsid w:val="0004418C"/>
    <w:rsid w:val="000448F0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6B2"/>
    <w:rsid w:val="000E0A46"/>
    <w:rsid w:val="000E1C32"/>
    <w:rsid w:val="000E3B7E"/>
    <w:rsid w:val="000E446D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31484"/>
    <w:rsid w:val="001335C3"/>
    <w:rsid w:val="0014024F"/>
    <w:rsid w:val="00142782"/>
    <w:rsid w:val="00143FCC"/>
    <w:rsid w:val="0014438E"/>
    <w:rsid w:val="00147012"/>
    <w:rsid w:val="001517AD"/>
    <w:rsid w:val="00160AF0"/>
    <w:rsid w:val="001632B4"/>
    <w:rsid w:val="00167284"/>
    <w:rsid w:val="00167E2D"/>
    <w:rsid w:val="001701EE"/>
    <w:rsid w:val="001713CF"/>
    <w:rsid w:val="0017202C"/>
    <w:rsid w:val="001721D7"/>
    <w:rsid w:val="00174DF8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38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32C4"/>
    <w:rsid w:val="001E6FAE"/>
    <w:rsid w:val="001E7384"/>
    <w:rsid w:val="001E7A8C"/>
    <w:rsid w:val="001F10C1"/>
    <w:rsid w:val="001F15DE"/>
    <w:rsid w:val="001F609F"/>
    <w:rsid w:val="001F7229"/>
    <w:rsid w:val="00200161"/>
    <w:rsid w:val="0020031B"/>
    <w:rsid w:val="0020076A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5655D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C5B45"/>
    <w:rsid w:val="002D04D0"/>
    <w:rsid w:val="002D30B5"/>
    <w:rsid w:val="002D453F"/>
    <w:rsid w:val="002E2F6F"/>
    <w:rsid w:val="002E4325"/>
    <w:rsid w:val="002E59C1"/>
    <w:rsid w:val="002E5A01"/>
    <w:rsid w:val="002E7989"/>
    <w:rsid w:val="002F7A9E"/>
    <w:rsid w:val="003000E7"/>
    <w:rsid w:val="00301AEB"/>
    <w:rsid w:val="00305004"/>
    <w:rsid w:val="0030727B"/>
    <w:rsid w:val="00310F1B"/>
    <w:rsid w:val="00311494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5006"/>
    <w:rsid w:val="0035671E"/>
    <w:rsid w:val="00357469"/>
    <w:rsid w:val="003623FD"/>
    <w:rsid w:val="00363D76"/>
    <w:rsid w:val="00365C1E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5688"/>
    <w:rsid w:val="003B7883"/>
    <w:rsid w:val="003C434C"/>
    <w:rsid w:val="003C4BB7"/>
    <w:rsid w:val="003C4C59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A56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717B"/>
    <w:rsid w:val="00483E71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0690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35D7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72847"/>
    <w:rsid w:val="005818B3"/>
    <w:rsid w:val="00581D38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BBD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37C52"/>
    <w:rsid w:val="0065046E"/>
    <w:rsid w:val="00651F39"/>
    <w:rsid w:val="006527DE"/>
    <w:rsid w:val="00657C22"/>
    <w:rsid w:val="00657D5E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078E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2417B"/>
    <w:rsid w:val="00730185"/>
    <w:rsid w:val="00744016"/>
    <w:rsid w:val="00745237"/>
    <w:rsid w:val="007522EB"/>
    <w:rsid w:val="00753ABE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4DB3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08B4"/>
    <w:rsid w:val="007E4A89"/>
    <w:rsid w:val="007E66E4"/>
    <w:rsid w:val="007E76A9"/>
    <w:rsid w:val="007F0F60"/>
    <w:rsid w:val="007F514F"/>
    <w:rsid w:val="007F798B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0298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470"/>
    <w:rsid w:val="00855F92"/>
    <w:rsid w:val="00863BD8"/>
    <w:rsid w:val="00867AA6"/>
    <w:rsid w:val="00874FF5"/>
    <w:rsid w:val="00875ECA"/>
    <w:rsid w:val="00877284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38C0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1A95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17B2B"/>
    <w:rsid w:val="00A22C40"/>
    <w:rsid w:val="00A270F7"/>
    <w:rsid w:val="00A2769C"/>
    <w:rsid w:val="00A352CC"/>
    <w:rsid w:val="00A3538C"/>
    <w:rsid w:val="00A36488"/>
    <w:rsid w:val="00A41CDF"/>
    <w:rsid w:val="00A430B7"/>
    <w:rsid w:val="00A43313"/>
    <w:rsid w:val="00A52AD6"/>
    <w:rsid w:val="00A57627"/>
    <w:rsid w:val="00A6487A"/>
    <w:rsid w:val="00A727F8"/>
    <w:rsid w:val="00A73E53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A6925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54CF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1585"/>
    <w:rsid w:val="00C238E3"/>
    <w:rsid w:val="00C25C47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82FBE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3D99"/>
    <w:rsid w:val="00D14F79"/>
    <w:rsid w:val="00D21579"/>
    <w:rsid w:val="00D216AF"/>
    <w:rsid w:val="00D22DE7"/>
    <w:rsid w:val="00D2689E"/>
    <w:rsid w:val="00D26D83"/>
    <w:rsid w:val="00D2768C"/>
    <w:rsid w:val="00D30F21"/>
    <w:rsid w:val="00D316C8"/>
    <w:rsid w:val="00D31C6F"/>
    <w:rsid w:val="00D4414A"/>
    <w:rsid w:val="00D45708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C7FA1"/>
    <w:rsid w:val="00DD0E37"/>
    <w:rsid w:val="00DD11E3"/>
    <w:rsid w:val="00DD1EBE"/>
    <w:rsid w:val="00DD58D9"/>
    <w:rsid w:val="00DD7A24"/>
    <w:rsid w:val="00DE273F"/>
    <w:rsid w:val="00DE3B24"/>
    <w:rsid w:val="00DF016D"/>
    <w:rsid w:val="00E00253"/>
    <w:rsid w:val="00E00F8F"/>
    <w:rsid w:val="00E01627"/>
    <w:rsid w:val="00E01636"/>
    <w:rsid w:val="00E04216"/>
    <w:rsid w:val="00E1063F"/>
    <w:rsid w:val="00E113C0"/>
    <w:rsid w:val="00E130B7"/>
    <w:rsid w:val="00E13ADC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3CD6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0F0"/>
    <w:rsid w:val="00EE4237"/>
    <w:rsid w:val="00EE4957"/>
    <w:rsid w:val="00EE7532"/>
    <w:rsid w:val="00EF4EEF"/>
    <w:rsid w:val="00EF7508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7909"/>
    <w:rsid w:val="00F526FD"/>
    <w:rsid w:val="00F5302E"/>
    <w:rsid w:val="00F542E3"/>
    <w:rsid w:val="00F54F3F"/>
    <w:rsid w:val="00F6701A"/>
    <w:rsid w:val="00F70D4D"/>
    <w:rsid w:val="00F739AD"/>
    <w:rsid w:val="00F73B9E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9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806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30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2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BE09-AFEA-42E0-8A3C-E5D2F281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4</Pages>
  <Words>930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2022-05-12T13:16:00Z</dcterms:created>
  <dcterms:modified xsi:type="dcterms:W3CDTF">2022-05-12T13:16:00Z</dcterms:modified>
</cp:coreProperties>
</file>