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143" w:rsidRDefault="001D2E9A" w:rsidP="00D46143">
      <w:pPr>
        <w:spacing w:after="0" w:line="360" w:lineRule="auto"/>
        <w:jc w:val="center"/>
        <w:rPr>
          <w:rFonts w:asciiTheme="majorHAnsi" w:eastAsia="Times New Roman" w:hAnsiTheme="majorHAnsi" w:cs="Arial"/>
          <w:b/>
          <w:sz w:val="28"/>
          <w:szCs w:val="24"/>
          <w:lang w:eastAsia="pt-BR"/>
        </w:rPr>
      </w:pPr>
      <w:bookmarkStart w:id="0" w:name="_GoBack"/>
      <w:bookmarkEnd w:id="0"/>
      <w:r>
        <w:rPr>
          <w:rFonts w:asciiTheme="majorHAnsi" w:eastAsia="Times New Roman" w:hAnsiTheme="majorHAnsi" w:cs="Arial"/>
          <w:b/>
          <w:sz w:val="28"/>
          <w:szCs w:val="24"/>
          <w:lang w:eastAsia="pt-BR"/>
        </w:rPr>
        <w:t>A</w:t>
      </w:r>
      <w:r w:rsidR="00D46143">
        <w:rPr>
          <w:rFonts w:asciiTheme="majorHAnsi" w:eastAsia="Times New Roman" w:hAnsiTheme="majorHAnsi" w:cs="Arial"/>
          <w:b/>
          <w:sz w:val="28"/>
          <w:szCs w:val="24"/>
          <w:lang w:eastAsia="pt-BR"/>
        </w:rPr>
        <w:t xml:space="preserve">SSESSORIA JURÍDICA DO LEGISLATIVO </w:t>
      </w:r>
      <w:r w:rsidR="00D46143">
        <w:rPr>
          <w:rFonts w:asciiTheme="majorHAnsi" w:eastAsia="Times New Roman" w:hAnsiTheme="majorHAnsi" w:cs="Times New Roman"/>
          <w:b/>
          <w:sz w:val="28"/>
          <w:szCs w:val="24"/>
          <w:lang w:eastAsia="pt-BR"/>
        </w:rPr>
        <w:br/>
      </w:r>
      <w:r w:rsidR="00D46143">
        <w:rPr>
          <w:rFonts w:asciiTheme="majorHAnsi" w:eastAsia="Times New Roman" w:hAnsiTheme="majorHAnsi" w:cs="Arial"/>
          <w:b/>
          <w:sz w:val="28"/>
          <w:szCs w:val="24"/>
          <w:lang w:eastAsia="pt-BR"/>
        </w:rPr>
        <w:t xml:space="preserve">PARECER JURÍDICO </w:t>
      </w:r>
      <w:r w:rsidR="00D7396A">
        <w:rPr>
          <w:rFonts w:asciiTheme="majorHAnsi" w:eastAsia="Times New Roman" w:hAnsiTheme="majorHAnsi" w:cs="Arial"/>
          <w:b/>
          <w:sz w:val="28"/>
          <w:szCs w:val="24"/>
          <w:lang w:eastAsia="pt-BR"/>
        </w:rPr>
        <w:t>1</w:t>
      </w:r>
      <w:r>
        <w:rPr>
          <w:rFonts w:asciiTheme="majorHAnsi" w:eastAsia="Times New Roman" w:hAnsiTheme="majorHAnsi" w:cs="Arial"/>
          <w:b/>
          <w:sz w:val="28"/>
          <w:szCs w:val="24"/>
          <w:lang w:eastAsia="pt-BR"/>
        </w:rPr>
        <w:t>1</w:t>
      </w:r>
      <w:r w:rsidR="00144F81">
        <w:rPr>
          <w:rFonts w:asciiTheme="majorHAnsi" w:eastAsia="Times New Roman" w:hAnsiTheme="majorHAnsi" w:cs="Arial"/>
          <w:b/>
          <w:sz w:val="28"/>
          <w:szCs w:val="24"/>
          <w:lang w:eastAsia="pt-BR"/>
        </w:rPr>
        <w:t>3</w:t>
      </w:r>
      <w:r w:rsidR="00D46143">
        <w:rPr>
          <w:rFonts w:asciiTheme="majorHAnsi" w:eastAsia="Times New Roman" w:hAnsiTheme="majorHAnsi" w:cs="Arial"/>
          <w:b/>
          <w:sz w:val="28"/>
          <w:szCs w:val="24"/>
          <w:lang w:eastAsia="pt-BR"/>
        </w:rPr>
        <w:t xml:space="preserve">/2021 – PROJETO DE LEI </w:t>
      </w:r>
      <w:r w:rsidR="00D7396A">
        <w:rPr>
          <w:rFonts w:asciiTheme="majorHAnsi" w:eastAsia="Times New Roman" w:hAnsiTheme="majorHAnsi" w:cs="Arial"/>
          <w:b/>
          <w:sz w:val="28"/>
          <w:szCs w:val="24"/>
          <w:lang w:eastAsia="pt-BR"/>
        </w:rPr>
        <w:t>6</w:t>
      </w:r>
      <w:r w:rsidR="00144F81">
        <w:rPr>
          <w:rFonts w:asciiTheme="majorHAnsi" w:eastAsia="Times New Roman" w:hAnsiTheme="majorHAnsi" w:cs="Arial"/>
          <w:b/>
          <w:sz w:val="28"/>
          <w:szCs w:val="24"/>
          <w:lang w:eastAsia="pt-BR"/>
        </w:rPr>
        <w:t>7</w:t>
      </w:r>
      <w:r w:rsidR="00D46143">
        <w:rPr>
          <w:rFonts w:asciiTheme="majorHAnsi" w:eastAsia="Times New Roman" w:hAnsiTheme="majorHAnsi" w:cs="Arial"/>
          <w:b/>
          <w:sz w:val="28"/>
          <w:szCs w:val="24"/>
          <w:lang w:eastAsia="pt-BR"/>
        </w:rPr>
        <w:t>/2021</w:t>
      </w:r>
    </w:p>
    <w:p w:rsidR="00D46143" w:rsidRDefault="00D46143" w:rsidP="00D46143">
      <w:pPr>
        <w:spacing w:after="0" w:line="360" w:lineRule="auto"/>
        <w:ind w:left="3969"/>
        <w:rPr>
          <w:rFonts w:asciiTheme="majorHAnsi" w:eastAsia="Times New Roman" w:hAnsiTheme="majorHAnsi" w:cs="Times New Roman"/>
          <w:szCs w:val="24"/>
          <w:lang w:eastAsia="pt-BR"/>
        </w:rPr>
      </w:pPr>
    </w:p>
    <w:p w:rsidR="00D46143" w:rsidRDefault="00D46143" w:rsidP="00D46143">
      <w:pPr>
        <w:spacing w:after="0" w:line="240" w:lineRule="auto"/>
        <w:ind w:left="3969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Times New Roman"/>
          <w:szCs w:val="24"/>
          <w:lang w:eastAsia="pt-BR"/>
        </w:rPr>
        <w:br/>
      </w:r>
      <w:r>
        <w:rPr>
          <w:rFonts w:asciiTheme="majorHAnsi" w:eastAsia="Times New Roman" w:hAnsiTheme="majorHAnsi" w:cs="Arial"/>
          <w:szCs w:val="24"/>
          <w:lang w:eastAsia="pt-BR"/>
        </w:rPr>
        <w:t>Parecer jurídico sobre abertura de Crédito</w:t>
      </w:r>
      <w:r w:rsidR="00A332F0">
        <w:rPr>
          <w:rFonts w:asciiTheme="majorHAnsi" w:eastAsia="Times New Roman" w:hAnsiTheme="majorHAnsi" w:cs="Arial"/>
          <w:szCs w:val="24"/>
          <w:lang w:eastAsia="pt-BR"/>
        </w:rPr>
        <w:t xml:space="preserve">s Suplementares com fonte de </w:t>
      </w:r>
      <w:r w:rsidR="008A25BF">
        <w:rPr>
          <w:rFonts w:asciiTheme="majorHAnsi" w:eastAsia="Times New Roman" w:hAnsiTheme="majorHAnsi" w:cs="Arial"/>
          <w:szCs w:val="24"/>
          <w:lang w:eastAsia="pt-BR"/>
        </w:rPr>
        <w:t>E</w:t>
      </w:r>
      <w:r w:rsidR="00A332F0">
        <w:rPr>
          <w:rFonts w:asciiTheme="majorHAnsi" w:eastAsia="Times New Roman" w:hAnsiTheme="majorHAnsi" w:cs="Arial"/>
          <w:szCs w:val="24"/>
          <w:lang w:eastAsia="pt-BR"/>
        </w:rPr>
        <w:t xml:space="preserve">xcesso de </w:t>
      </w:r>
      <w:r w:rsidR="008A25BF">
        <w:rPr>
          <w:rFonts w:asciiTheme="majorHAnsi" w:eastAsia="Times New Roman" w:hAnsiTheme="majorHAnsi" w:cs="Arial"/>
          <w:szCs w:val="24"/>
          <w:lang w:eastAsia="pt-BR"/>
        </w:rPr>
        <w:t>A</w:t>
      </w:r>
      <w:r w:rsidR="00A332F0">
        <w:rPr>
          <w:rFonts w:asciiTheme="majorHAnsi" w:eastAsia="Times New Roman" w:hAnsiTheme="majorHAnsi" w:cs="Arial"/>
          <w:szCs w:val="24"/>
          <w:lang w:eastAsia="pt-BR"/>
        </w:rPr>
        <w:t>rrecadação.</w:t>
      </w:r>
    </w:p>
    <w:p w:rsidR="00D46143" w:rsidRDefault="00D46143" w:rsidP="00D46143">
      <w:pPr>
        <w:spacing w:after="0" w:line="360" w:lineRule="auto"/>
        <w:rPr>
          <w:rFonts w:asciiTheme="majorHAnsi" w:eastAsia="Times New Roman" w:hAnsiTheme="majorHAnsi" w:cs="Times New Roman"/>
          <w:szCs w:val="24"/>
          <w:lang w:eastAsia="pt-BR"/>
        </w:rPr>
      </w:pPr>
    </w:p>
    <w:p w:rsidR="00D46143" w:rsidRDefault="00D46143" w:rsidP="00D46143">
      <w:pPr>
        <w:spacing w:after="0" w:line="360" w:lineRule="auto"/>
        <w:ind w:left="567"/>
        <w:rPr>
          <w:rFonts w:asciiTheme="majorHAnsi" w:eastAsia="Times New Roman" w:hAnsiTheme="majorHAnsi" w:cs="Arial"/>
          <w:b/>
          <w:szCs w:val="24"/>
          <w:lang w:eastAsia="pt-BR"/>
        </w:rPr>
      </w:pPr>
      <w:r>
        <w:rPr>
          <w:rFonts w:asciiTheme="majorHAnsi" w:eastAsia="Times New Roman" w:hAnsiTheme="majorHAnsi" w:cs="Arial"/>
          <w:b/>
          <w:szCs w:val="24"/>
          <w:lang w:eastAsia="pt-BR"/>
        </w:rPr>
        <w:t xml:space="preserve">CONSULTA: </w:t>
      </w:r>
    </w:p>
    <w:p w:rsidR="00D46143" w:rsidRDefault="00D46143" w:rsidP="00D46143">
      <w:pPr>
        <w:spacing w:after="0" w:line="360" w:lineRule="auto"/>
        <w:ind w:left="567"/>
        <w:rPr>
          <w:rFonts w:asciiTheme="majorHAnsi" w:eastAsia="Times New Roman" w:hAnsiTheme="majorHAnsi" w:cs="Arial"/>
          <w:b/>
          <w:szCs w:val="24"/>
          <w:lang w:eastAsia="pt-BR"/>
        </w:rPr>
      </w:pPr>
    </w:p>
    <w:p w:rsidR="00D46143" w:rsidRDefault="00D46143" w:rsidP="00A332F0">
      <w:pPr>
        <w:spacing w:after="0" w:line="360" w:lineRule="auto"/>
        <w:ind w:firstLine="708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 xml:space="preserve">Após receber o PL </w:t>
      </w:r>
      <w:r w:rsidR="00D7396A">
        <w:rPr>
          <w:rFonts w:asciiTheme="majorHAnsi" w:eastAsia="Times New Roman" w:hAnsiTheme="majorHAnsi" w:cs="Arial"/>
          <w:szCs w:val="24"/>
          <w:lang w:eastAsia="pt-BR"/>
        </w:rPr>
        <w:t>6</w:t>
      </w:r>
      <w:r w:rsidR="00144F81">
        <w:rPr>
          <w:rFonts w:asciiTheme="majorHAnsi" w:eastAsia="Times New Roman" w:hAnsiTheme="majorHAnsi" w:cs="Arial"/>
          <w:szCs w:val="24"/>
          <w:lang w:eastAsia="pt-BR"/>
        </w:rPr>
        <w:t>7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/2021, que tem objetivo de Autorizar o Executivo à abertura de crédito adicional especial </w:t>
      </w:r>
      <w:r w:rsidR="00A332F0">
        <w:rPr>
          <w:rFonts w:asciiTheme="majorHAnsi" w:eastAsia="Times New Roman" w:hAnsiTheme="majorHAnsi" w:cs="Arial"/>
          <w:szCs w:val="24"/>
          <w:lang w:eastAsia="pt-BR"/>
        </w:rPr>
        <w:t xml:space="preserve">utilizando como fonte de recurso o excesso na arrecadação, 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a Assessoria Jurídica desta </w:t>
      </w:r>
      <w:r w:rsidR="001D2E9A">
        <w:rPr>
          <w:rFonts w:asciiTheme="majorHAnsi" w:eastAsia="Times New Roman" w:hAnsiTheme="majorHAnsi" w:cs="Arial"/>
          <w:szCs w:val="24"/>
          <w:lang w:eastAsia="pt-BR"/>
        </w:rPr>
        <w:t>C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asa Legislativa emite seu parecer nos seguintes termos: </w:t>
      </w:r>
    </w:p>
    <w:p w:rsidR="00D46143" w:rsidRDefault="00D46143" w:rsidP="00D46143">
      <w:pPr>
        <w:spacing w:after="0" w:line="360" w:lineRule="auto"/>
        <w:ind w:left="567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Times New Roman"/>
          <w:szCs w:val="24"/>
          <w:lang w:eastAsia="pt-BR"/>
        </w:rPr>
        <w:br/>
      </w:r>
      <w:r>
        <w:rPr>
          <w:rFonts w:asciiTheme="majorHAnsi" w:eastAsia="Times New Roman" w:hAnsiTheme="majorHAnsi" w:cs="Arial"/>
          <w:b/>
          <w:szCs w:val="24"/>
          <w:lang w:eastAsia="pt-BR"/>
        </w:rPr>
        <w:t>PARECER: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</w:p>
    <w:p w:rsidR="00D46143" w:rsidRDefault="00D46143" w:rsidP="00D46143">
      <w:pPr>
        <w:spacing w:after="0" w:line="360" w:lineRule="auto"/>
        <w:rPr>
          <w:rStyle w:val="markedcontent"/>
          <w:rFonts w:asciiTheme="majorHAnsi" w:hAnsiTheme="majorHAnsi" w:cs="Arial"/>
          <w:szCs w:val="24"/>
        </w:rPr>
      </w:pPr>
      <w:r>
        <w:rPr>
          <w:rFonts w:asciiTheme="majorHAnsi" w:eastAsia="Times New Roman" w:hAnsiTheme="majorHAnsi" w:cs="Times New Roman"/>
          <w:szCs w:val="24"/>
          <w:lang w:eastAsia="pt-BR"/>
        </w:rPr>
        <w:br/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  <w:r>
        <w:rPr>
          <w:rFonts w:asciiTheme="majorHAnsi" w:eastAsia="Times New Roman" w:hAnsiTheme="majorHAnsi" w:cs="Arial"/>
          <w:szCs w:val="24"/>
          <w:lang w:eastAsia="pt-BR"/>
        </w:rPr>
        <w:tab/>
      </w:r>
      <w:r>
        <w:rPr>
          <w:rStyle w:val="markedcontent"/>
          <w:rFonts w:asciiTheme="majorHAnsi" w:hAnsiTheme="majorHAnsi" w:cs="Arial"/>
          <w:szCs w:val="24"/>
        </w:rPr>
        <w:t xml:space="preserve">Sob o aspecto formal, a proposição em referência está redigida em </w:t>
      </w:r>
      <w:r>
        <w:rPr>
          <w:rFonts w:asciiTheme="majorHAnsi" w:hAnsiTheme="majorHAnsi"/>
          <w:szCs w:val="24"/>
        </w:rPr>
        <w:br/>
      </w:r>
      <w:r>
        <w:rPr>
          <w:rStyle w:val="markedcontent"/>
          <w:rFonts w:asciiTheme="majorHAnsi" w:hAnsiTheme="majorHAnsi" w:cs="Arial"/>
          <w:szCs w:val="24"/>
        </w:rPr>
        <w:t>linguagem parlamentar e obedece à boa técnica legislativa.</w:t>
      </w:r>
    </w:p>
    <w:p w:rsidR="008A25BF" w:rsidRDefault="008A25BF" w:rsidP="00D46143">
      <w:pPr>
        <w:spacing w:after="0" w:line="360" w:lineRule="auto"/>
        <w:rPr>
          <w:rStyle w:val="markedcontent"/>
          <w:rFonts w:asciiTheme="majorHAnsi" w:hAnsiTheme="majorHAnsi" w:cs="Arial"/>
          <w:szCs w:val="24"/>
        </w:rPr>
      </w:pPr>
      <w:r>
        <w:rPr>
          <w:rStyle w:val="markedcontent"/>
          <w:rFonts w:asciiTheme="majorHAnsi" w:hAnsiTheme="majorHAnsi" w:cs="Arial"/>
          <w:szCs w:val="24"/>
        </w:rPr>
        <w:tab/>
        <w:t>Destaca-se que por um erro de digitação o referido projeto veio mencionando a cidade de Andrelândia – MG, quando na verdade seria a cidade de Bom Jardim de Minas – MG, situação que deve ser retificada, mas que não prejudica o conteúdo do projeto.</w:t>
      </w:r>
    </w:p>
    <w:p w:rsidR="008A25BF" w:rsidRPr="00F77166" w:rsidRDefault="008A25BF" w:rsidP="00D02D12">
      <w:pPr>
        <w:spacing w:after="0" w:line="360" w:lineRule="auto"/>
        <w:ind w:firstLine="708"/>
        <w:rPr>
          <w:rStyle w:val="markedcontent"/>
          <w:rFonts w:asciiTheme="majorHAnsi" w:hAnsiTheme="majorHAnsi" w:cs="Arial"/>
          <w:szCs w:val="24"/>
        </w:rPr>
      </w:pPr>
      <w:r>
        <w:rPr>
          <w:rStyle w:val="markedcontent"/>
          <w:rFonts w:asciiTheme="majorHAnsi" w:hAnsiTheme="majorHAnsi" w:cs="Arial"/>
          <w:szCs w:val="24"/>
        </w:rPr>
        <w:t xml:space="preserve">O PL traz ainda uma tabela contendo as fontes de recursos juntamente com as estimativas dos </w:t>
      </w:r>
      <w:r w:rsidRPr="00F77166">
        <w:rPr>
          <w:rStyle w:val="markedcontent"/>
          <w:rFonts w:asciiTheme="majorHAnsi" w:hAnsiTheme="majorHAnsi" w:cs="Arial"/>
          <w:szCs w:val="24"/>
        </w:rPr>
        <w:t>excessos de arrecadação, o que totaliza um valor de R$ 4.809.000,00 (quatro milhões e oitocentos e nove mil reais).</w:t>
      </w:r>
    </w:p>
    <w:p w:rsidR="00A332F0" w:rsidRPr="00F77166" w:rsidRDefault="00D46143" w:rsidP="00F77166">
      <w:pPr>
        <w:spacing w:after="0" w:line="360" w:lineRule="auto"/>
        <w:rPr>
          <w:rStyle w:val="markedcontent"/>
          <w:rFonts w:asciiTheme="majorHAnsi" w:hAnsiTheme="majorHAnsi" w:cs="Arial"/>
          <w:szCs w:val="24"/>
        </w:rPr>
      </w:pPr>
      <w:r w:rsidRPr="00F77166">
        <w:rPr>
          <w:rStyle w:val="markedcontent"/>
          <w:rFonts w:asciiTheme="majorHAnsi" w:hAnsiTheme="majorHAnsi" w:cs="Arial"/>
          <w:szCs w:val="24"/>
        </w:rPr>
        <w:tab/>
        <w:t>Trata-se de Projeto de Lei no qual o Poder Executivo local pretende autor</w:t>
      </w:r>
      <w:r w:rsidR="00A332F0" w:rsidRPr="00F77166">
        <w:rPr>
          <w:rStyle w:val="markedcontent"/>
          <w:rFonts w:asciiTheme="majorHAnsi" w:hAnsiTheme="majorHAnsi" w:cs="Arial"/>
          <w:szCs w:val="24"/>
        </w:rPr>
        <w:t>ização para abe</w:t>
      </w:r>
      <w:r w:rsidR="00D02D12">
        <w:rPr>
          <w:rStyle w:val="markedcontent"/>
          <w:rFonts w:asciiTheme="majorHAnsi" w:hAnsiTheme="majorHAnsi" w:cs="Arial"/>
          <w:szCs w:val="24"/>
        </w:rPr>
        <w:t xml:space="preserve">rtura de créditos suplementares, </w:t>
      </w:r>
      <w:r w:rsidR="00F77166" w:rsidRPr="00F77166">
        <w:rPr>
          <w:rStyle w:val="markedcontent"/>
          <w:rFonts w:asciiTheme="majorHAnsi" w:hAnsiTheme="majorHAnsi" w:cs="Arial"/>
          <w:szCs w:val="24"/>
        </w:rPr>
        <w:t xml:space="preserve">sendo assim, o </w:t>
      </w:r>
      <w:r w:rsidR="00F77166" w:rsidRPr="00F77166">
        <w:rPr>
          <w:rFonts w:asciiTheme="majorHAnsi" w:eastAsia="Times New Roman" w:hAnsiTheme="majorHAnsi" w:cs="Times New Roman"/>
          <w:szCs w:val="24"/>
          <w:lang w:eastAsia="pt-BR"/>
        </w:rPr>
        <w:t xml:space="preserve">artigo 2° do PL estabelece que os créditos suplementares abertos por força de lei serão utilizados exclusivamente para atender ao objeto de suas vinculações, </w:t>
      </w:r>
      <w:r w:rsidR="00A332F0" w:rsidRPr="00F77166">
        <w:rPr>
          <w:rStyle w:val="markedcontent"/>
          <w:rFonts w:asciiTheme="majorHAnsi" w:hAnsiTheme="majorHAnsi" w:cs="Arial"/>
          <w:szCs w:val="24"/>
        </w:rPr>
        <w:t xml:space="preserve">conforme o parágrafo único do artigo 8° da Lei Complementar 101 de 04 </w:t>
      </w:r>
      <w:r w:rsidR="00D02D12">
        <w:rPr>
          <w:rStyle w:val="markedcontent"/>
          <w:rFonts w:asciiTheme="majorHAnsi" w:hAnsiTheme="majorHAnsi" w:cs="Arial"/>
          <w:szCs w:val="24"/>
        </w:rPr>
        <w:t xml:space="preserve">de maio de </w:t>
      </w:r>
      <w:r w:rsidR="00A332F0" w:rsidRPr="00F77166">
        <w:rPr>
          <w:rStyle w:val="markedcontent"/>
          <w:rFonts w:asciiTheme="majorHAnsi" w:hAnsiTheme="majorHAnsi" w:cs="Arial"/>
          <w:szCs w:val="24"/>
        </w:rPr>
        <w:t>2.000, que diz que:</w:t>
      </w:r>
    </w:p>
    <w:p w:rsidR="00A332F0" w:rsidRPr="00F77166" w:rsidRDefault="00A332F0" w:rsidP="00F77166">
      <w:pPr>
        <w:spacing w:before="100" w:beforeAutospacing="1" w:after="100" w:afterAutospacing="1" w:line="360" w:lineRule="auto"/>
        <w:ind w:left="2268"/>
        <w:contextualSpacing w:val="0"/>
        <w:rPr>
          <w:rFonts w:asciiTheme="majorHAnsi" w:eastAsia="Times New Roman" w:hAnsiTheme="majorHAnsi" w:cs="Times New Roman"/>
          <w:szCs w:val="24"/>
          <w:lang w:eastAsia="pt-BR"/>
        </w:rPr>
      </w:pPr>
      <w:r w:rsidRPr="00F77166">
        <w:rPr>
          <w:rFonts w:asciiTheme="majorHAnsi" w:eastAsia="Times New Roman" w:hAnsiTheme="majorHAnsi" w:cs="Times New Roman"/>
          <w:b/>
          <w:bCs/>
          <w:szCs w:val="24"/>
          <w:lang w:eastAsia="pt-BR"/>
        </w:rPr>
        <w:lastRenderedPageBreak/>
        <w:t xml:space="preserve">Art. 8º </w:t>
      </w:r>
      <w:r w:rsidRPr="00F77166">
        <w:rPr>
          <w:rFonts w:asciiTheme="majorHAnsi" w:eastAsia="Times New Roman" w:hAnsiTheme="majorHAnsi" w:cs="Times New Roman"/>
          <w:szCs w:val="24"/>
          <w:lang w:eastAsia="pt-BR"/>
        </w:rPr>
        <w:t>Até trinta dias após a publicação dos orçamentos, nos termos em que dispuser a lei de diretrizes orçamentárias e observado o disposto na al</w:t>
      </w:r>
      <w:r w:rsidR="008A25BF" w:rsidRPr="00F77166">
        <w:rPr>
          <w:rFonts w:asciiTheme="majorHAnsi" w:eastAsia="Times New Roman" w:hAnsiTheme="majorHAnsi" w:cs="Times New Roman"/>
          <w:szCs w:val="24"/>
          <w:lang w:eastAsia="pt-BR"/>
        </w:rPr>
        <w:t>ínea c do inciso I do artigo 4º</w:t>
      </w:r>
      <w:r w:rsidRPr="00F77166">
        <w:rPr>
          <w:rFonts w:asciiTheme="majorHAnsi" w:eastAsia="Times New Roman" w:hAnsiTheme="majorHAnsi" w:cs="Times New Roman"/>
          <w:szCs w:val="24"/>
          <w:lang w:eastAsia="pt-BR"/>
        </w:rPr>
        <w:t>, o Poder Executivo estabelecerá a programação financeira e o cronograma de execução mensal de desembolso.</w:t>
      </w:r>
    </w:p>
    <w:p w:rsidR="00A332F0" w:rsidRPr="00F77166" w:rsidRDefault="00A332F0" w:rsidP="00F77166">
      <w:pPr>
        <w:spacing w:before="100" w:beforeAutospacing="1" w:after="100" w:afterAutospacing="1" w:line="360" w:lineRule="auto"/>
        <w:ind w:left="2268"/>
        <w:contextualSpacing w:val="0"/>
        <w:rPr>
          <w:rFonts w:asciiTheme="majorHAnsi" w:eastAsia="Times New Roman" w:hAnsiTheme="majorHAnsi" w:cs="Times New Roman"/>
          <w:szCs w:val="24"/>
          <w:lang w:eastAsia="pt-BR"/>
        </w:rPr>
      </w:pPr>
      <w:r w:rsidRPr="00F77166">
        <w:rPr>
          <w:rFonts w:asciiTheme="majorHAnsi" w:eastAsia="Times New Roman" w:hAnsiTheme="majorHAnsi" w:cs="Times New Roman"/>
          <w:szCs w:val="24"/>
          <w:lang w:eastAsia="pt-BR"/>
        </w:rPr>
        <w:t xml:space="preserve">Parágrafo </w:t>
      </w:r>
      <w:r w:rsidR="00F44238" w:rsidRPr="00F77166">
        <w:rPr>
          <w:rFonts w:asciiTheme="majorHAnsi" w:eastAsia="Times New Roman" w:hAnsiTheme="majorHAnsi" w:cs="Times New Roman"/>
          <w:szCs w:val="24"/>
          <w:lang w:eastAsia="pt-BR"/>
        </w:rPr>
        <w:t>único</w:t>
      </w:r>
      <w:r w:rsidRPr="00F77166">
        <w:rPr>
          <w:rFonts w:asciiTheme="majorHAnsi" w:eastAsia="Times New Roman" w:hAnsiTheme="majorHAnsi" w:cs="Times New Roman"/>
          <w:szCs w:val="24"/>
          <w:lang w:eastAsia="pt-BR"/>
        </w:rPr>
        <w:t>. Os recursos legalmente vinculados a finalidade específica serão utilizados exclusivamente para atender ao objeto de sua vinculação, ainda que em exercício diverso daquele em que ocorrer o ingresso</w:t>
      </w:r>
    </w:p>
    <w:p w:rsidR="00F77166" w:rsidRDefault="008A25BF" w:rsidP="00F77166">
      <w:pPr>
        <w:spacing w:after="0" w:line="360" w:lineRule="auto"/>
        <w:contextualSpacing w:val="0"/>
        <w:rPr>
          <w:rFonts w:asciiTheme="majorHAnsi" w:eastAsia="Times New Roman" w:hAnsiTheme="majorHAnsi" w:cs="Times New Roman"/>
          <w:szCs w:val="24"/>
          <w:lang w:eastAsia="pt-BR"/>
        </w:rPr>
      </w:pPr>
      <w:r w:rsidRPr="00F77166">
        <w:rPr>
          <w:rFonts w:asciiTheme="majorHAnsi" w:eastAsia="Times New Roman" w:hAnsiTheme="majorHAnsi" w:cs="Times New Roman"/>
          <w:szCs w:val="24"/>
          <w:lang w:eastAsia="pt-BR"/>
        </w:rPr>
        <w:tab/>
      </w:r>
      <w:r w:rsidR="00F77166" w:rsidRPr="00F77166">
        <w:rPr>
          <w:rFonts w:asciiTheme="majorHAnsi" w:eastAsia="Times New Roman" w:hAnsiTheme="majorHAnsi" w:cs="Times New Roman"/>
          <w:szCs w:val="24"/>
          <w:lang w:eastAsia="pt-BR"/>
        </w:rPr>
        <w:t>Ademais, segundo o artigo 3° as despesas autorizadas pelos créditos adicionais deverão limitar-se à efetiva arrecadação dos recursos previstos nas fontes descritas na tabela trazida no corpo do projeto (artigo 1°).</w:t>
      </w:r>
    </w:p>
    <w:p w:rsidR="00D46143" w:rsidRDefault="00D46143" w:rsidP="00F77166">
      <w:pPr>
        <w:spacing w:after="0" w:line="360" w:lineRule="auto"/>
        <w:contextualSpacing w:val="0"/>
        <w:rPr>
          <w:rStyle w:val="markedcontent"/>
          <w:rFonts w:asciiTheme="majorHAnsi" w:hAnsiTheme="majorHAnsi" w:cs="Arial"/>
          <w:szCs w:val="24"/>
        </w:rPr>
      </w:pPr>
      <w:r>
        <w:rPr>
          <w:rStyle w:val="markedcontent"/>
          <w:rFonts w:asciiTheme="majorHAnsi" w:hAnsiTheme="majorHAnsi" w:cs="Arial"/>
          <w:szCs w:val="24"/>
        </w:rPr>
        <w:tab/>
        <w:t>O PL encontra-se em consonância com a Lei Orgânica Municipal no que diz respeito à Competência do Legislativo em relação à abertura de crédito.</w:t>
      </w:r>
    </w:p>
    <w:p w:rsidR="00D46143" w:rsidRDefault="00D02D12" w:rsidP="00D46143">
      <w:pPr>
        <w:spacing w:after="0" w:line="360" w:lineRule="auto"/>
        <w:ind w:firstLine="708"/>
        <w:rPr>
          <w:rStyle w:val="markedcontent"/>
          <w:rFonts w:asciiTheme="majorHAnsi" w:hAnsiTheme="majorHAnsi" w:cs="Arial"/>
          <w:szCs w:val="24"/>
        </w:rPr>
      </w:pPr>
      <w:r>
        <w:rPr>
          <w:rStyle w:val="markedcontent"/>
          <w:rFonts w:asciiTheme="majorHAnsi" w:hAnsiTheme="majorHAnsi" w:cs="Arial"/>
          <w:szCs w:val="24"/>
        </w:rPr>
        <w:t xml:space="preserve">Para atender ao que se pretende, </w:t>
      </w:r>
      <w:r w:rsidR="00D46143">
        <w:rPr>
          <w:rStyle w:val="markedcontent"/>
          <w:rFonts w:asciiTheme="majorHAnsi" w:hAnsiTheme="majorHAnsi" w:cs="Arial"/>
          <w:szCs w:val="24"/>
        </w:rPr>
        <w:t>será utilizado como fonte de recurso o “</w:t>
      </w:r>
      <w:r w:rsidR="004467A0">
        <w:rPr>
          <w:rStyle w:val="markedcontent"/>
          <w:rFonts w:asciiTheme="majorHAnsi" w:hAnsiTheme="majorHAnsi" w:cs="Arial"/>
          <w:szCs w:val="24"/>
        </w:rPr>
        <w:t>Excesso de Arrecadação</w:t>
      </w:r>
      <w:r w:rsidR="00D7396A">
        <w:rPr>
          <w:rStyle w:val="markedcontent"/>
          <w:rFonts w:asciiTheme="majorHAnsi" w:hAnsiTheme="majorHAnsi" w:cs="Arial"/>
          <w:szCs w:val="24"/>
        </w:rPr>
        <w:t>”</w:t>
      </w:r>
      <w:r w:rsidR="00D46143">
        <w:rPr>
          <w:rStyle w:val="markedcontent"/>
          <w:rFonts w:asciiTheme="majorHAnsi" w:hAnsiTheme="majorHAnsi" w:cs="Arial"/>
          <w:szCs w:val="24"/>
        </w:rPr>
        <w:t xml:space="preserve">, na forma do parágrafo </w:t>
      </w:r>
      <w:r w:rsidR="004467A0">
        <w:rPr>
          <w:rStyle w:val="markedcontent"/>
          <w:rFonts w:asciiTheme="majorHAnsi" w:hAnsiTheme="majorHAnsi" w:cs="Arial"/>
          <w:szCs w:val="24"/>
        </w:rPr>
        <w:t>3</w:t>
      </w:r>
      <w:r w:rsidR="00D46143">
        <w:rPr>
          <w:rStyle w:val="markedcontent"/>
          <w:rFonts w:asciiTheme="majorHAnsi" w:hAnsiTheme="majorHAnsi" w:cs="Arial"/>
          <w:szCs w:val="24"/>
        </w:rPr>
        <w:t xml:space="preserve">°, </w:t>
      </w:r>
      <w:r w:rsidR="004467A0">
        <w:rPr>
          <w:rStyle w:val="markedcontent"/>
          <w:rFonts w:asciiTheme="majorHAnsi" w:hAnsiTheme="majorHAnsi" w:cs="Arial"/>
          <w:szCs w:val="24"/>
        </w:rPr>
        <w:t>do artigo 43 da Lei 4.320/64</w:t>
      </w:r>
      <w:r w:rsidR="0034212A">
        <w:rPr>
          <w:rStyle w:val="markedcontent"/>
          <w:rFonts w:asciiTheme="majorHAnsi" w:hAnsiTheme="majorHAnsi" w:cs="Arial"/>
          <w:szCs w:val="24"/>
        </w:rPr>
        <w:t>, sendo esse o saldo positivo das diferenças acumuladas mês a mês entre a arrecadação prevista e a realizada, considerando-se ainda, a tendência do exercício</w:t>
      </w:r>
      <w:r>
        <w:rPr>
          <w:rStyle w:val="markedcontent"/>
          <w:rFonts w:asciiTheme="majorHAnsi" w:hAnsiTheme="majorHAnsi" w:cs="Arial"/>
          <w:szCs w:val="24"/>
        </w:rPr>
        <w:t>.</w:t>
      </w:r>
    </w:p>
    <w:p w:rsidR="0024187B" w:rsidRPr="004467A0" w:rsidRDefault="0024187B" w:rsidP="004467A0">
      <w:pPr>
        <w:spacing w:after="0" w:line="360" w:lineRule="auto"/>
        <w:ind w:firstLine="708"/>
        <w:rPr>
          <w:rStyle w:val="markedcontent"/>
          <w:rFonts w:asciiTheme="majorHAnsi" w:hAnsiTheme="majorHAnsi"/>
        </w:rPr>
      </w:pPr>
      <w:r>
        <w:rPr>
          <w:rFonts w:asciiTheme="majorHAnsi" w:hAnsiTheme="majorHAnsi"/>
        </w:rPr>
        <w:t xml:space="preserve">O PL veio instruído com o texto do Projeto de Lei, vem como um resumo das Fontes de Recursos, além da justificativa. </w:t>
      </w:r>
    </w:p>
    <w:p w:rsidR="0024187B" w:rsidRDefault="0024187B" w:rsidP="004E2387">
      <w:pPr>
        <w:spacing w:after="0" w:line="360" w:lineRule="auto"/>
        <w:ind w:firstLine="567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Como se vê, a situação encontra-se amparada pela disponibilidade de recursos que não foram gastos,</w:t>
      </w:r>
      <w:r w:rsidR="004467A0">
        <w:rPr>
          <w:rFonts w:asciiTheme="majorHAnsi" w:hAnsiTheme="majorHAnsi"/>
          <w:szCs w:val="24"/>
        </w:rPr>
        <w:t xml:space="preserve"> considerando o fechamento contábil no mês de outubro sob a égide da receita corrente líquida municipal, a qual acumulou uma variação de 19,46% (dezenove vírgula quarenta e seis por cento) em relação ao que foi apurado no ano de 2021, o que levou o setor de contabilidade apurar as tendências dos excessos de arrecadação por fonte de recurso, viabilizando o encerramento do exercício financeiro de 2021 de forma legal e sem atrope</w:t>
      </w:r>
      <w:r w:rsidR="0034212A">
        <w:rPr>
          <w:rFonts w:asciiTheme="majorHAnsi" w:hAnsiTheme="majorHAnsi"/>
          <w:szCs w:val="24"/>
        </w:rPr>
        <w:t>lamentos.</w:t>
      </w:r>
    </w:p>
    <w:p w:rsidR="004467A0" w:rsidRDefault="004467A0" w:rsidP="004E2387">
      <w:pPr>
        <w:spacing w:after="0" w:line="360" w:lineRule="auto"/>
        <w:ind w:firstLine="567"/>
        <w:rPr>
          <w:rFonts w:asciiTheme="majorHAnsi" w:hAnsiTheme="majorHAnsi"/>
          <w:szCs w:val="24"/>
        </w:rPr>
      </w:pPr>
    </w:p>
    <w:p w:rsidR="004467A0" w:rsidRPr="004E2387" w:rsidRDefault="004467A0" w:rsidP="0034212A">
      <w:pPr>
        <w:spacing w:after="0" w:line="360" w:lineRule="auto"/>
        <w:rPr>
          <w:rFonts w:asciiTheme="majorHAnsi" w:hAnsiTheme="majorHAnsi"/>
          <w:szCs w:val="24"/>
        </w:rPr>
      </w:pPr>
    </w:p>
    <w:p w:rsidR="0024187B" w:rsidRDefault="0024187B" w:rsidP="004E2387">
      <w:pPr>
        <w:spacing w:after="0" w:line="360" w:lineRule="auto"/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Sob o aspecto técnico-contábil, toda abertura de crédito adicional, seja especial ou suplementar, precisa ser acompanhada da indicação da respectiva fonte do recurso, utilizando uma das espécies previstas no §</w:t>
      </w:r>
      <w:r w:rsidR="004E2387">
        <w:rPr>
          <w:rFonts w:asciiTheme="majorHAnsi" w:hAnsiTheme="majorHAnsi"/>
        </w:rPr>
        <w:t xml:space="preserve"> 1° do art. 43 da Lei 4.320/64.</w:t>
      </w:r>
    </w:p>
    <w:p w:rsidR="0034212A" w:rsidRDefault="0024187B" w:rsidP="0024187B">
      <w:pPr>
        <w:spacing w:after="0" w:line="360" w:lineRule="auto"/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t>Atualmente, o Tribunal de Contas de Minas Gerais</w:t>
      </w:r>
      <w:r w:rsidR="0034212A">
        <w:rPr>
          <w:rFonts w:asciiTheme="majorHAnsi" w:hAnsiTheme="majorHAnsi"/>
        </w:rPr>
        <w:t xml:space="preserve"> já se posicionou no sentido de que os municípios podem abrir créditos adicionais com a fonte de excesso de arrecadação, com base na tendência do exercício, porém devem observar o limite do exercício financeiro.</w:t>
      </w:r>
    </w:p>
    <w:p w:rsidR="0024187B" w:rsidRDefault="0024187B" w:rsidP="0024187B">
      <w:pPr>
        <w:spacing w:after="0" w:line="360" w:lineRule="auto"/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Assim, não é apenas possível, mas tornou-se obrigatório apurar-se o excesso de arrecadação de cada fonte separadamente, para abertura ou reforço de dotações que sejam compatíveis com cada uma, porém, em qualquer hipótese, ainda é primordial observar-se o parâmetro básico apontado pela Lei 4.320/64, que é a demonstração da existência de “recursos disponíveis”. </w:t>
      </w:r>
    </w:p>
    <w:p w:rsidR="0024187B" w:rsidRDefault="0024187B" w:rsidP="0024187B">
      <w:pPr>
        <w:spacing w:after="0" w:line="360" w:lineRule="auto"/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princípio, segundo a Lei 4.320/64, o excesso de arrecadação deveria ser comprovado mediante um comparativo abrangendo todos os meses do exercício atual, demonstrando as diferenças entre a arrecadação prevista e a realizada na respectiva fonte, e mostrando a tendência de arrecadação para o restante do exercício. </w:t>
      </w:r>
    </w:p>
    <w:p w:rsidR="0024187B" w:rsidRDefault="0024187B" w:rsidP="0024187B">
      <w:pPr>
        <w:spacing w:after="0" w:line="360" w:lineRule="auto"/>
        <w:ind w:firstLine="708"/>
        <w:rPr>
          <w:rFonts w:asciiTheme="majorHAnsi" w:hAnsiTheme="majorHAnsi" w:cs="Arial"/>
          <w:szCs w:val="30"/>
        </w:rPr>
      </w:pPr>
      <w:r>
        <w:rPr>
          <w:rFonts w:asciiTheme="majorHAnsi" w:hAnsiTheme="majorHAnsi"/>
        </w:rPr>
        <w:t xml:space="preserve">Todavia, em se tratando de excesso de receita em uma fonte determinada, tal comprovação deverá ser feita mediante a apresentação de um relatório emitido pela Contabilidade da Prefeitura atestando e justificando essas despesas, portanto, </w:t>
      </w:r>
      <w:r w:rsidRPr="005C310E">
        <w:rPr>
          <w:rFonts w:asciiTheme="majorHAnsi" w:hAnsiTheme="majorHAnsi" w:cs="Arial"/>
          <w:b/>
          <w:i/>
          <w:szCs w:val="30"/>
        </w:rPr>
        <w:t>friso que esta apuração de valores deve ser precedida de adequada metodologia de cálculo, que leve em consideração os possíveis riscos capazes de afetar os resultados pretendidos.</w:t>
      </w:r>
      <w:r>
        <w:rPr>
          <w:rFonts w:asciiTheme="majorHAnsi" w:hAnsiTheme="majorHAnsi" w:cs="Arial"/>
          <w:szCs w:val="30"/>
        </w:rPr>
        <w:t xml:space="preserve"> </w:t>
      </w:r>
    </w:p>
    <w:p w:rsidR="00C23DA4" w:rsidRPr="00C23DA4" w:rsidRDefault="004E2387" w:rsidP="00C23DA4">
      <w:pPr>
        <w:spacing w:after="0" w:line="360" w:lineRule="auto"/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t>No caso em questão a assessoria contábil da Prefeitura Municipal já detalhou a fonte de recursos, com seus respectivos códigos, os quais se encontram a disposição para an</w:t>
      </w:r>
      <w:r w:rsidR="00B60F46">
        <w:rPr>
          <w:rFonts w:asciiTheme="majorHAnsi" w:hAnsiTheme="majorHAnsi"/>
        </w:rPr>
        <w:t>álise dos vereadores (em anexo).</w:t>
      </w:r>
    </w:p>
    <w:p w:rsidR="0024187B" w:rsidRDefault="0024187B" w:rsidP="0024187B">
      <w:pPr>
        <w:spacing w:after="0" w:line="360" w:lineRule="auto"/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t>De toda forma, pode-se atestar que, sob o aspecto jurídico-formal, o projeto se apresenta de forma legal, posto que a criação da nova dotação é balanceada por recursos disponíveis, parte remanejada de outra</w:t>
      </w:r>
      <w:r w:rsidR="001D2E9A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dotaç</w:t>
      </w:r>
      <w:r w:rsidR="001D2E9A">
        <w:rPr>
          <w:rFonts w:asciiTheme="majorHAnsi" w:hAnsiTheme="majorHAnsi"/>
        </w:rPr>
        <w:t>ões</w:t>
      </w:r>
      <w:r>
        <w:rPr>
          <w:rFonts w:asciiTheme="majorHAnsi" w:hAnsiTheme="majorHAnsi"/>
        </w:rPr>
        <w:t>, é parte oriunda de sobra de caixa no</w:t>
      </w:r>
      <w:r w:rsidR="001D2E9A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exercício</w:t>
      </w:r>
      <w:r w:rsidR="001D2E9A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anterior</w:t>
      </w:r>
      <w:r w:rsidR="001D2E9A">
        <w:rPr>
          <w:rFonts w:asciiTheme="majorHAnsi" w:hAnsiTheme="majorHAnsi"/>
        </w:rPr>
        <w:t>es, os quais até a presente data não foram utilizados</w:t>
      </w:r>
      <w:r>
        <w:rPr>
          <w:rFonts w:asciiTheme="majorHAnsi" w:hAnsiTheme="majorHAnsi"/>
        </w:rPr>
        <w:t xml:space="preserve">, </w:t>
      </w:r>
      <w:r w:rsidR="001D2E9A">
        <w:rPr>
          <w:rFonts w:asciiTheme="majorHAnsi" w:hAnsiTheme="majorHAnsi"/>
        </w:rPr>
        <w:t xml:space="preserve">portanto estão </w:t>
      </w:r>
      <w:r>
        <w:rPr>
          <w:rFonts w:asciiTheme="majorHAnsi" w:hAnsiTheme="majorHAnsi"/>
        </w:rPr>
        <w:t>em fonte de recursos compatível com a dotação ora proposta.</w:t>
      </w:r>
    </w:p>
    <w:p w:rsidR="00C23DA4" w:rsidRDefault="00C23DA4" w:rsidP="0024187B">
      <w:pPr>
        <w:spacing w:after="0" w:line="360" w:lineRule="auto"/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Além disso, o </w:t>
      </w:r>
      <w:r w:rsidR="00D02D12">
        <w:rPr>
          <w:rFonts w:asciiTheme="majorHAnsi" w:hAnsiTheme="majorHAnsi"/>
        </w:rPr>
        <w:t>P</w:t>
      </w:r>
      <w:r>
        <w:rPr>
          <w:rFonts w:asciiTheme="majorHAnsi" w:hAnsiTheme="majorHAnsi"/>
        </w:rPr>
        <w:t>rojeto em encontra-se adequado ao Plano Plurianual de 2018-2021 e à Lei de Diretrizes Orçamentárias de 2021, tendo por escopo a realização de ações prioritárias voltadas ao atendimento das demandas da sociedade, em especial nas áreas da saúde, educação e assistência social.</w:t>
      </w:r>
    </w:p>
    <w:p w:rsidR="00C23DA4" w:rsidRDefault="00C23DA4" w:rsidP="00D46143">
      <w:pPr>
        <w:spacing w:after="0" w:line="360" w:lineRule="auto"/>
        <w:ind w:firstLine="708"/>
        <w:rPr>
          <w:rFonts w:asciiTheme="majorHAnsi" w:hAnsiTheme="majorHAnsi"/>
        </w:rPr>
      </w:pPr>
    </w:p>
    <w:p w:rsidR="00D46143" w:rsidRDefault="00D46143" w:rsidP="00D46143">
      <w:pPr>
        <w:spacing w:after="0" w:line="360" w:lineRule="auto"/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CONCLUSÃO: </w:t>
      </w:r>
    </w:p>
    <w:p w:rsidR="00D46143" w:rsidRDefault="00D46143" w:rsidP="00836B51">
      <w:pPr>
        <w:spacing w:after="0" w:line="360" w:lineRule="auto"/>
        <w:rPr>
          <w:rFonts w:asciiTheme="majorHAnsi" w:hAnsiTheme="majorHAnsi"/>
        </w:rPr>
      </w:pPr>
    </w:p>
    <w:p w:rsidR="00836B51" w:rsidRDefault="00D46143" w:rsidP="00836B51">
      <w:pPr>
        <w:spacing w:after="0" w:line="360" w:lineRule="auto"/>
        <w:ind w:firstLine="708"/>
        <w:rPr>
          <w:rStyle w:val="markedcontent"/>
          <w:rFonts w:asciiTheme="majorHAnsi" w:hAnsiTheme="majorHAnsi" w:cs="Arial"/>
          <w:szCs w:val="24"/>
        </w:rPr>
      </w:pPr>
      <w:r>
        <w:rPr>
          <w:rFonts w:asciiTheme="majorHAnsi" w:hAnsiTheme="majorHAnsi"/>
        </w:rPr>
        <w:t xml:space="preserve"> </w:t>
      </w:r>
      <w:r w:rsidR="00836B51" w:rsidRPr="00FA7245">
        <w:rPr>
          <w:rStyle w:val="markedcontent"/>
          <w:rFonts w:asciiTheme="majorHAnsi" w:hAnsiTheme="majorHAnsi" w:cs="Arial"/>
          <w:szCs w:val="24"/>
        </w:rPr>
        <w:t>Concluo</w:t>
      </w:r>
      <w:r w:rsidR="00836B51">
        <w:rPr>
          <w:rStyle w:val="markedcontent"/>
          <w:rFonts w:asciiTheme="majorHAnsi" w:hAnsiTheme="majorHAnsi" w:cs="Arial"/>
          <w:szCs w:val="24"/>
        </w:rPr>
        <w:t xml:space="preserve">, </w:t>
      </w:r>
      <w:r w:rsidR="00836B51" w:rsidRPr="00FA7245">
        <w:rPr>
          <w:rStyle w:val="markedcontent"/>
          <w:rFonts w:asciiTheme="majorHAnsi" w:hAnsiTheme="majorHAnsi" w:cs="Arial"/>
          <w:szCs w:val="24"/>
        </w:rPr>
        <w:t>portanto, que o projeto é legal</w:t>
      </w:r>
      <w:r w:rsidR="00C23DA4">
        <w:rPr>
          <w:rStyle w:val="markedcontent"/>
          <w:rFonts w:asciiTheme="majorHAnsi" w:hAnsiTheme="majorHAnsi" w:cs="Arial"/>
          <w:szCs w:val="24"/>
        </w:rPr>
        <w:t xml:space="preserve"> </w:t>
      </w:r>
      <w:r w:rsidR="00836B51" w:rsidRPr="00FA7245">
        <w:rPr>
          <w:rStyle w:val="markedcontent"/>
          <w:rFonts w:asciiTheme="majorHAnsi" w:hAnsiTheme="majorHAnsi" w:cs="Arial"/>
          <w:szCs w:val="24"/>
        </w:rPr>
        <w:t xml:space="preserve">quanto ao seu objeto, </w:t>
      </w:r>
      <w:r w:rsidR="001D2E9A">
        <w:rPr>
          <w:rStyle w:val="markedcontent"/>
          <w:rFonts w:asciiTheme="majorHAnsi" w:hAnsiTheme="majorHAnsi" w:cs="Arial"/>
          <w:szCs w:val="24"/>
        </w:rPr>
        <w:t>não havendo ilegalidade ou inconstitucionalidade.</w:t>
      </w:r>
    </w:p>
    <w:p w:rsidR="00C23DA4" w:rsidRDefault="00C23DA4" w:rsidP="00836B51">
      <w:pPr>
        <w:spacing w:after="0" w:line="360" w:lineRule="auto"/>
        <w:ind w:firstLine="708"/>
        <w:rPr>
          <w:rStyle w:val="markedcontent"/>
          <w:rFonts w:asciiTheme="majorHAnsi" w:hAnsiTheme="majorHAnsi" w:cs="Arial"/>
          <w:szCs w:val="24"/>
        </w:rPr>
      </w:pPr>
      <w:r>
        <w:rPr>
          <w:rStyle w:val="markedcontent"/>
          <w:rFonts w:asciiTheme="majorHAnsi" w:hAnsiTheme="majorHAnsi" w:cs="Arial"/>
          <w:szCs w:val="24"/>
        </w:rPr>
        <w:t xml:space="preserve">Ademais, </w:t>
      </w:r>
      <w:r w:rsidR="0085337D">
        <w:rPr>
          <w:rStyle w:val="markedcontent"/>
          <w:rFonts w:asciiTheme="majorHAnsi" w:hAnsiTheme="majorHAnsi" w:cs="Arial"/>
          <w:szCs w:val="24"/>
        </w:rPr>
        <w:t xml:space="preserve">o mesmo </w:t>
      </w:r>
      <w:r>
        <w:rPr>
          <w:rStyle w:val="markedcontent"/>
          <w:rFonts w:asciiTheme="majorHAnsi" w:hAnsiTheme="majorHAnsi" w:cs="Arial"/>
          <w:szCs w:val="24"/>
        </w:rPr>
        <w:t xml:space="preserve">encontra-se em consonância com as leis orçamentárias, além de preencher os requisitos da Lei </w:t>
      </w:r>
      <w:r>
        <w:rPr>
          <w:rFonts w:asciiTheme="majorHAnsi" w:hAnsiTheme="majorHAnsi"/>
        </w:rPr>
        <w:t>4.320/64 e o estabelecido pelo Tribunal de Contas.</w:t>
      </w:r>
    </w:p>
    <w:p w:rsidR="001D2E9A" w:rsidRPr="00FA7245" w:rsidRDefault="00C23DA4" w:rsidP="00836B51">
      <w:pPr>
        <w:spacing w:after="0" w:line="360" w:lineRule="auto"/>
        <w:ind w:firstLine="708"/>
        <w:rPr>
          <w:rStyle w:val="markedcontent"/>
          <w:rFonts w:asciiTheme="majorHAnsi" w:hAnsiTheme="majorHAnsi" w:cs="Arial"/>
          <w:szCs w:val="24"/>
        </w:rPr>
      </w:pPr>
      <w:r>
        <w:rPr>
          <w:rStyle w:val="markedcontent"/>
          <w:rFonts w:asciiTheme="majorHAnsi" w:hAnsiTheme="majorHAnsi" w:cs="Arial"/>
          <w:szCs w:val="24"/>
        </w:rPr>
        <w:t>Portanto, devem</w:t>
      </w:r>
      <w:r w:rsidR="001D2E9A">
        <w:rPr>
          <w:rStyle w:val="markedcontent"/>
          <w:rFonts w:asciiTheme="majorHAnsi" w:hAnsiTheme="majorHAnsi" w:cs="Arial"/>
          <w:szCs w:val="24"/>
        </w:rPr>
        <w:t xml:space="preserve"> os nobres vereadores junto às comissões, verificarem as a fonte de recursos pautados na planilha contábil já fornecida.</w:t>
      </w:r>
    </w:p>
    <w:p w:rsidR="00FE2C3E" w:rsidRDefault="00FE2C3E" w:rsidP="001D2E9A">
      <w:pPr>
        <w:spacing w:after="0" w:line="360" w:lineRule="auto"/>
        <w:rPr>
          <w:rFonts w:asciiTheme="majorHAnsi" w:hAnsiTheme="majorHAnsi"/>
        </w:rPr>
      </w:pPr>
    </w:p>
    <w:p w:rsidR="00D46143" w:rsidRDefault="00D46143" w:rsidP="00D46143">
      <w:pPr>
        <w:spacing w:after="0" w:line="360" w:lineRule="auto"/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t>Eis o parecer.</w:t>
      </w:r>
    </w:p>
    <w:p w:rsidR="00D46143" w:rsidRDefault="00D46143" w:rsidP="00D46143">
      <w:pPr>
        <w:spacing w:after="0" w:line="360" w:lineRule="auto"/>
        <w:ind w:firstLine="708"/>
        <w:rPr>
          <w:rFonts w:asciiTheme="majorHAnsi" w:hAnsiTheme="majorHAnsi"/>
        </w:rPr>
      </w:pPr>
    </w:p>
    <w:p w:rsidR="00D46143" w:rsidRDefault="00D46143" w:rsidP="00D46143">
      <w:pPr>
        <w:spacing w:after="0" w:line="360" w:lineRule="auto"/>
        <w:ind w:firstLine="708"/>
        <w:jc w:val="center"/>
        <w:rPr>
          <w:rFonts w:asciiTheme="majorHAnsi" w:hAnsiTheme="majorHAnsi"/>
        </w:rPr>
      </w:pPr>
    </w:p>
    <w:p w:rsidR="00D46143" w:rsidRDefault="00D46143" w:rsidP="00D46143">
      <w:pPr>
        <w:spacing w:after="0" w:line="360" w:lineRule="auto"/>
        <w:ind w:firstLine="708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Bom Jardim de Minas, </w:t>
      </w:r>
      <w:r w:rsidR="000F1DD0">
        <w:rPr>
          <w:rFonts w:asciiTheme="majorHAnsi" w:hAnsiTheme="majorHAnsi"/>
        </w:rPr>
        <w:t>2</w:t>
      </w:r>
      <w:r w:rsidR="00F17CA7"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 de </w:t>
      </w:r>
      <w:r w:rsidR="001D2E9A">
        <w:rPr>
          <w:rFonts w:asciiTheme="majorHAnsi" w:hAnsiTheme="majorHAnsi"/>
        </w:rPr>
        <w:t>novembro</w:t>
      </w:r>
      <w:r>
        <w:rPr>
          <w:rFonts w:asciiTheme="majorHAnsi" w:hAnsiTheme="majorHAnsi"/>
        </w:rPr>
        <w:t xml:space="preserve"> de 2021.</w:t>
      </w:r>
    </w:p>
    <w:p w:rsidR="00D46143" w:rsidRDefault="00D46143" w:rsidP="00D46143">
      <w:pPr>
        <w:spacing w:after="0" w:line="360" w:lineRule="auto"/>
        <w:ind w:firstLine="708"/>
        <w:jc w:val="center"/>
        <w:rPr>
          <w:rFonts w:asciiTheme="majorHAnsi" w:hAnsiTheme="majorHAnsi"/>
        </w:rPr>
      </w:pPr>
    </w:p>
    <w:p w:rsidR="0068464D" w:rsidRPr="00D46143" w:rsidRDefault="00F17CA7" w:rsidP="00F17CA7">
      <w:pPr>
        <w:jc w:val="center"/>
      </w:pPr>
      <w:r>
        <w:rPr>
          <w:rFonts w:asciiTheme="majorHAnsi" w:hAnsiTheme="majorHAnsi"/>
          <w:noProof/>
          <w:lang w:eastAsia="pt-BR"/>
        </w:rPr>
        <w:drawing>
          <wp:inline distT="0" distB="0" distL="0" distR="0">
            <wp:extent cx="1949658" cy="889687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411" cy="8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64D" w:rsidRPr="00D46143" w:rsidSect="00516589">
      <w:headerReference w:type="default" r:id="rId9"/>
      <w:footerReference w:type="default" r:id="rId10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1AA" w:rsidRDefault="005031AA" w:rsidP="003A4A3B">
      <w:pPr>
        <w:spacing w:after="0" w:line="240" w:lineRule="auto"/>
      </w:pPr>
      <w:r>
        <w:separator/>
      </w:r>
    </w:p>
  </w:endnote>
  <w:endnote w:type="continuationSeparator" w:id="0">
    <w:p w:rsidR="005031AA" w:rsidRDefault="005031AA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846D0A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1AA" w:rsidRDefault="005031AA" w:rsidP="003A4A3B">
      <w:pPr>
        <w:spacing w:after="0" w:line="240" w:lineRule="auto"/>
      </w:pPr>
      <w:r>
        <w:separator/>
      </w:r>
    </w:p>
  </w:footnote>
  <w:footnote w:type="continuationSeparator" w:id="0">
    <w:p w:rsidR="005031AA" w:rsidRDefault="005031AA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516589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:rsidR="00516589" w:rsidRDefault="00516589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074373AE" wp14:editId="2CED128D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7"/>
  </w:num>
  <w:num w:numId="13">
    <w:abstractNumId w:val="2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6D"/>
    <w:rsid w:val="0000057D"/>
    <w:rsid w:val="000121B1"/>
    <w:rsid w:val="000139E2"/>
    <w:rsid w:val="0002024E"/>
    <w:rsid w:val="00023C7F"/>
    <w:rsid w:val="00023C8B"/>
    <w:rsid w:val="00025F56"/>
    <w:rsid w:val="0002643E"/>
    <w:rsid w:val="0003195A"/>
    <w:rsid w:val="00032818"/>
    <w:rsid w:val="0003601F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20D5"/>
    <w:rsid w:val="000A3D0C"/>
    <w:rsid w:val="000A6177"/>
    <w:rsid w:val="000B0144"/>
    <w:rsid w:val="000B1420"/>
    <w:rsid w:val="000C3590"/>
    <w:rsid w:val="000C393D"/>
    <w:rsid w:val="000C3B6C"/>
    <w:rsid w:val="000D32DC"/>
    <w:rsid w:val="000D39FA"/>
    <w:rsid w:val="000D5063"/>
    <w:rsid w:val="000E1C32"/>
    <w:rsid w:val="000E3B7E"/>
    <w:rsid w:val="000E7797"/>
    <w:rsid w:val="000F1DD0"/>
    <w:rsid w:val="00102C22"/>
    <w:rsid w:val="00115183"/>
    <w:rsid w:val="00115360"/>
    <w:rsid w:val="00115705"/>
    <w:rsid w:val="00124352"/>
    <w:rsid w:val="00126CF6"/>
    <w:rsid w:val="00127ED3"/>
    <w:rsid w:val="00143FCC"/>
    <w:rsid w:val="00144F81"/>
    <w:rsid w:val="00147012"/>
    <w:rsid w:val="00160AF0"/>
    <w:rsid w:val="00167284"/>
    <w:rsid w:val="00167E2D"/>
    <w:rsid w:val="0017202C"/>
    <w:rsid w:val="001721D7"/>
    <w:rsid w:val="001762CC"/>
    <w:rsid w:val="00182787"/>
    <w:rsid w:val="00185D19"/>
    <w:rsid w:val="00187344"/>
    <w:rsid w:val="0019491B"/>
    <w:rsid w:val="00197E48"/>
    <w:rsid w:val="001B5A45"/>
    <w:rsid w:val="001B6374"/>
    <w:rsid w:val="001B7CFD"/>
    <w:rsid w:val="001C2752"/>
    <w:rsid w:val="001C4D09"/>
    <w:rsid w:val="001C7A18"/>
    <w:rsid w:val="001D0AF3"/>
    <w:rsid w:val="001D17BD"/>
    <w:rsid w:val="001D20B9"/>
    <w:rsid w:val="001D254C"/>
    <w:rsid w:val="001D2E9A"/>
    <w:rsid w:val="001D313C"/>
    <w:rsid w:val="001D755A"/>
    <w:rsid w:val="001E6FAE"/>
    <w:rsid w:val="001E7384"/>
    <w:rsid w:val="001E7A8C"/>
    <w:rsid w:val="001F10C1"/>
    <w:rsid w:val="001F609F"/>
    <w:rsid w:val="0021176C"/>
    <w:rsid w:val="00220534"/>
    <w:rsid w:val="00224D99"/>
    <w:rsid w:val="00230495"/>
    <w:rsid w:val="002337D0"/>
    <w:rsid w:val="002411F3"/>
    <w:rsid w:val="00241290"/>
    <w:rsid w:val="002416E1"/>
    <w:rsid w:val="0024187B"/>
    <w:rsid w:val="00247DDC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85903"/>
    <w:rsid w:val="002865A4"/>
    <w:rsid w:val="00294D59"/>
    <w:rsid w:val="002A02D5"/>
    <w:rsid w:val="002A7111"/>
    <w:rsid w:val="002A7620"/>
    <w:rsid w:val="002B0563"/>
    <w:rsid w:val="002B2818"/>
    <w:rsid w:val="002B3F59"/>
    <w:rsid w:val="002C3A05"/>
    <w:rsid w:val="002C48D0"/>
    <w:rsid w:val="002D04D0"/>
    <w:rsid w:val="002D30B5"/>
    <w:rsid w:val="002E2F6F"/>
    <w:rsid w:val="002E4325"/>
    <w:rsid w:val="002E59C1"/>
    <w:rsid w:val="002E5A01"/>
    <w:rsid w:val="002E7989"/>
    <w:rsid w:val="00305004"/>
    <w:rsid w:val="0031388D"/>
    <w:rsid w:val="00317D56"/>
    <w:rsid w:val="003217D0"/>
    <w:rsid w:val="00323422"/>
    <w:rsid w:val="003237B9"/>
    <w:rsid w:val="00326A20"/>
    <w:rsid w:val="003418A9"/>
    <w:rsid w:val="0034212A"/>
    <w:rsid w:val="003426A3"/>
    <w:rsid w:val="003623FD"/>
    <w:rsid w:val="00363D76"/>
    <w:rsid w:val="003728B8"/>
    <w:rsid w:val="00383F66"/>
    <w:rsid w:val="00392B0A"/>
    <w:rsid w:val="003A16C9"/>
    <w:rsid w:val="003A4A3B"/>
    <w:rsid w:val="003A526D"/>
    <w:rsid w:val="003A78CF"/>
    <w:rsid w:val="003A7F79"/>
    <w:rsid w:val="003B449D"/>
    <w:rsid w:val="003B7883"/>
    <w:rsid w:val="003C4BB7"/>
    <w:rsid w:val="003C76C5"/>
    <w:rsid w:val="003D1348"/>
    <w:rsid w:val="003E08D4"/>
    <w:rsid w:val="003E6A96"/>
    <w:rsid w:val="003F0E73"/>
    <w:rsid w:val="003F2C1E"/>
    <w:rsid w:val="004038F2"/>
    <w:rsid w:val="004070A3"/>
    <w:rsid w:val="0041218D"/>
    <w:rsid w:val="00416832"/>
    <w:rsid w:val="00420B08"/>
    <w:rsid w:val="00427BE2"/>
    <w:rsid w:val="004303EB"/>
    <w:rsid w:val="0043123F"/>
    <w:rsid w:val="00432935"/>
    <w:rsid w:val="004351E5"/>
    <w:rsid w:val="00436448"/>
    <w:rsid w:val="004459B5"/>
    <w:rsid w:val="004467A0"/>
    <w:rsid w:val="00446D48"/>
    <w:rsid w:val="0045131A"/>
    <w:rsid w:val="004517BB"/>
    <w:rsid w:val="00452D0A"/>
    <w:rsid w:val="00454960"/>
    <w:rsid w:val="00463B76"/>
    <w:rsid w:val="004862AF"/>
    <w:rsid w:val="00486EC1"/>
    <w:rsid w:val="0048737A"/>
    <w:rsid w:val="004955D7"/>
    <w:rsid w:val="00495B0B"/>
    <w:rsid w:val="004A5BA0"/>
    <w:rsid w:val="004B17C5"/>
    <w:rsid w:val="004B4667"/>
    <w:rsid w:val="004C103F"/>
    <w:rsid w:val="004C1C6F"/>
    <w:rsid w:val="004C564B"/>
    <w:rsid w:val="004C5BC8"/>
    <w:rsid w:val="004C7064"/>
    <w:rsid w:val="004D179E"/>
    <w:rsid w:val="004D3A1A"/>
    <w:rsid w:val="004E2387"/>
    <w:rsid w:val="004E26A8"/>
    <w:rsid w:val="004E3A84"/>
    <w:rsid w:val="004E6C05"/>
    <w:rsid w:val="004E756E"/>
    <w:rsid w:val="004F422F"/>
    <w:rsid w:val="004F6B64"/>
    <w:rsid w:val="00501E5E"/>
    <w:rsid w:val="005031AA"/>
    <w:rsid w:val="00516589"/>
    <w:rsid w:val="00527950"/>
    <w:rsid w:val="005304AA"/>
    <w:rsid w:val="00535221"/>
    <w:rsid w:val="00544724"/>
    <w:rsid w:val="005818B3"/>
    <w:rsid w:val="00595F4D"/>
    <w:rsid w:val="00597541"/>
    <w:rsid w:val="00597D43"/>
    <w:rsid w:val="005A0638"/>
    <w:rsid w:val="005A0643"/>
    <w:rsid w:val="005A0D95"/>
    <w:rsid w:val="005A42D8"/>
    <w:rsid w:val="005B4883"/>
    <w:rsid w:val="005B4D77"/>
    <w:rsid w:val="005B6162"/>
    <w:rsid w:val="005C310E"/>
    <w:rsid w:val="005D3310"/>
    <w:rsid w:val="005E02D4"/>
    <w:rsid w:val="005E0534"/>
    <w:rsid w:val="005E0983"/>
    <w:rsid w:val="005E229E"/>
    <w:rsid w:val="006036DC"/>
    <w:rsid w:val="00605E94"/>
    <w:rsid w:val="006173A1"/>
    <w:rsid w:val="006211C8"/>
    <w:rsid w:val="006265F9"/>
    <w:rsid w:val="00626D2B"/>
    <w:rsid w:val="006343F1"/>
    <w:rsid w:val="00651F39"/>
    <w:rsid w:val="006527DE"/>
    <w:rsid w:val="0065679F"/>
    <w:rsid w:val="00657C22"/>
    <w:rsid w:val="006717F3"/>
    <w:rsid w:val="0068464D"/>
    <w:rsid w:val="00691358"/>
    <w:rsid w:val="00694170"/>
    <w:rsid w:val="006958CF"/>
    <w:rsid w:val="006A6958"/>
    <w:rsid w:val="006B55B6"/>
    <w:rsid w:val="006D01F7"/>
    <w:rsid w:val="006D6ED1"/>
    <w:rsid w:val="006D7AC1"/>
    <w:rsid w:val="006D7F68"/>
    <w:rsid w:val="006E508D"/>
    <w:rsid w:val="006F0AD2"/>
    <w:rsid w:val="006F5BC7"/>
    <w:rsid w:val="007002FF"/>
    <w:rsid w:val="0070147B"/>
    <w:rsid w:val="00706AD1"/>
    <w:rsid w:val="00710679"/>
    <w:rsid w:val="00710A30"/>
    <w:rsid w:val="00710B74"/>
    <w:rsid w:val="00712602"/>
    <w:rsid w:val="00715A8D"/>
    <w:rsid w:val="00715FBB"/>
    <w:rsid w:val="00717024"/>
    <w:rsid w:val="00727464"/>
    <w:rsid w:val="00730185"/>
    <w:rsid w:val="00744016"/>
    <w:rsid w:val="00745237"/>
    <w:rsid w:val="007522EB"/>
    <w:rsid w:val="00754BAF"/>
    <w:rsid w:val="00757745"/>
    <w:rsid w:val="007604CB"/>
    <w:rsid w:val="00761C08"/>
    <w:rsid w:val="00762CE0"/>
    <w:rsid w:val="00766AC7"/>
    <w:rsid w:val="00766D27"/>
    <w:rsid w:val="00777D8B"/>
    <w:rsid w:val="0078053B"/>
    <w:rsid w:val="0078513C"/>
    <w:rsid w:val="00786A90"/>
    <w:rsid w:val="00792D1E"/>
    <w:rsid w:val="007976A3"/>
    <w:rsid w:val="007A1556"/>
    <w:rsid w:val="007A20CB"/>
    <w:rsid w:val="007B01A2"/>
    <w:rsid w:val="007B36B7"/>
    <w:rsid w:val="007C0879"/>
    <w:rsid w:val="007C5BF2"/>
    <w:rsid w:val="007C5EE4"/>
    <w:rsid w:val="007D5908"/>
    <w:rsid w:val="007E4A89"/>
    <w:rsid w:val="007E66E4"/>
    <w:rsid w:val="007E76A9"/>
    <w:rsid w:val="007F0F60"/>
    <w:rsid w:val="0080270A"/>
    <w:rsid w:val="00805264"/>
    <w:rsid w:val="00811BF5"/>
    <w:rsid w:val="0081657F"/>
    <w:rsid w:val="00816C48"/>
    <w:rsid w:val="00817352"/>
    <w:rsid w:val="0082385D"/>
    <w:rsid w:val="008273B3"/>
    <w:rsid w:val="00830217"/>
    <w:rsid w:val="00832932"/>
    <w:rsid w:val="00836B51"/>
    <w:rsid w:val="00837828"/>
    <w:rsid w:val="00845F22"/>
    <w:rsid w:val="00846D0A"/>
    <w:rsid w:val="00850F53"/>
    <w:rsid w:val="00851651"/>
    <w:rsid w:val="0085337D"/>
    <w:rsid w:val="00855F92"/>
    <w:rsid w:val="00863BD8"/>
    <w:rsid w:val="00874FF5"/>
    <w:rsid w:val="00875ECA"/>
    <w:rsid w:val="00882426"/>
    <w:rsid w:val="00882BBC"/>
    <w:rsid w:val="008A25BF"/>
    <w:rsid w:val="008B3F15"/>
    <w:rsid w:val="008C1C64"/>
    <w:rsid w:val="008D2B2A"/>
    <w:rsid w:val="008D2D2B"/>
    <w:rsid w:val="008D2F05"/>
    <w:rsid w:val="008D344D"/>
    <w:rsid w:val="008D444B"/>
    <w:rsid w:val="008E36D2"/>
    <w:rsid w:val="008F425B"/>
    <w:rsid w:val="009046E6"/>
    <w:rsid w:val="009163EA"/>
    <w:rsid w:val="009203B2"/>
    <w:rsid w:val="0092729D"/>
    <w:rsid w:val="009429DA"/>
    <w:rsid w:val="009430C1"/>
    <w:rsid w:val="00944836"/>
    <w:rsid w:val="0095661F"/>
    <w:rsid w:val="00960205"/>
    <w:rsid w:val="00966078"/>
    <w:rsid w:val="00974AC5"/>
    <w:rsid w:val="00980690"/>
    <w:rsid w:val="00980783"/>
    <w:rsid w:val="00981457"/>
    <w:rsid w:val="009831DB"/>
    <w:rsid w:val="00985028"/>
    <w:rsid w:val="00990686"/>
    <w:rsid w:val="009A343A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2E27"/>
    <w:rsid w:val="009E5D87"/>
    <w:rsid w:val="009E6233"/>
    <w:rsid w:val="009E6BFF"/>
    <w:rsid w:val="009F2494"/>
    <w:rsid w:val="009F38DE"/>
    <w:rsid w:val="00A02D71"/>
    <w:rsid w:val="00A05D13"/>
    <w:rsid w:val="00A148CF"/>
    <w:rsid w:val="00A17964"/>
    <w:rsid w:val="00A22C1F"/>
    <w:rsid w:val="00A22C40"/>
    <w:rsid w:val="00A270F7"/>
    <w:rsid w:val="00A332F0"/>
    <w:rsid w:val="00A352CC"/>
    <w:rsid w:val="00A3538C"/>
    <w:rsid w:val="00A36488"/>
    <w:rsid w:val="00A41CDF"/>
    <w:rsid w:val="00A52AD6"/>
    <w:rsid w:val="00A6487A"/>
    <w:rsid w:val="00A727F8"/>
    <w:rsid w:val="00A73E53"/>
    <w:rsid w:val="00A7795F"/>
    <w:rsid w:val="00A82866"/>
    <w:rsid w:val="00A84258"/>
    <w:rsid w:val="00A9181F"/>
    <w:rsid w:val="00A929FD"/>
    <w:rsid w:val="00A9482B"/>
    <w:rsid w:val="00A963D4"/>
    <w:rsid w:val="00AA4F28"/>
    <w:rsid w:val="00AA4F41"/>
    <w:rsid w:val="00AA530B"/>
    <w:rsid w:val="00AB4FCF"/>
    <w:rsid w:val="00AB5385"/>
    <w:rsid w:val="00AC05A3"/>
    <w:rsid w:val="00AD1B15"/>
    <w:rsid w:val="00AD2293"/>
    <w:rsid w:val="00AD35C7"/>
    <w:rsid w:val="00AD4371"/>
    <w:rsid w:val="00AE0374"/>
    <w:rsid w:val="00AE11D3"/>
    <w:rsid w:val="00AE1A2E"/>
    <w:rsid w:val="00AF465D"/>
    <w:rsid w:val="00AF49BB"/>
    <w:rsid w:val="00AF63AB"/>
    <w:rsid w:val="00AF73D5"/>
    <w:rsid w:val="00AF7DDC"/>
    <w:rsid w:val="00B034F3"/>
    <w:rsid w:val="00B040FB"/>
    <w:rsid w:val="00B064B8"/>
    <w:rsid w:val="00B157A7"/>
    <w:rsid w:val="00B203C2"/>
    <w:rsid w:val="00B20E69"/>
    <w:rsid w:val="00B315DE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46"/>
    <w:rsid w:val="00B62CCF"/>
    <w:rsid w:val="00B64159"/>
    <w:rsid w:val="00B83582"/>
    <w:rsid w:val="00B85476"/>
    <w:rsid w:val="00B85A02"/>
    <w:rsid w:val="00B86012"/>
    <w:rsid w:val="00B870E0"/>
    <w:rsid w:val="00B87B8C"/>
    <w:rsid w:val="00B946B7"/>
    <w:rsid w:val="00B95517"/>
    <w:rsid w:val="00B9677D"/>
    <w:rsid w:val="00B96F48"/>
    <w:rsid w:val="00BA1EC8"/>
    <w:rsid w:val="00BA5532"/>
    <w:rsid w:val="00BB2F11"/>
    <w:rsid w:val="00BB555B"/>
    <w:rsid w:val="00BB58C6"/>
    <w:rsid w:val="00BB5F41"/>
    <w:rsid w:val="00BC1EBD"/>
    <w:rsid w:val="00BD0A50"/>
    <w:rsid w:val="00BD1A62"/>
    <w:rsid w:val="00BD1CB9"/>
    <w:rsid w:val="00BD4CD6"/>
    <w:rsid w:val="00BD7C99"/>
    <w:rsid w:val="00BE1C0A"/>
    <w:rsid w:val="00BE7132"/>
    <w:rsid w:val="00C01A15"/>
    <w:rsid w:val="00C01A47"/>
    <w:rsid w:val="00C03E1D"/>
    <w:rsid w:val="00C049A5"/>
    <w:rsid w:val="00C10F3D"/>
    <w:rsid w:val="00C16710"/>
    <w:rsid w:val="00C17A7A"/>
    <w:rsid w:val="00C20A32"/>
    <w:rsid w:val="00C238E3"/>
    <w:rsid w:val="00C23DA4"/>
    <w:rsid w:val="00C25E81"/>
    <w:rsid w:val="00C32B39"/>
    <w:rsid w:val="00C333DC"/>
    <w:rsid w:val="00C4562F"/>
    <w:rsid w:val="00C501C6"/>
    <w:rsid w:val="00C50A62"/>
    <w:rsid w:val="00C5330C"/>
    <w:rsid w:val="00C557C7"/>
    <w:rsid w:val="00C60615"/>
    <w:rsid w:val="00C7147D"/>
    <w:rsid w:val="00C740E6"/>
    <w:rsid w:val="00C75675"/>
    <w:rsid w:val="00C765B8"/>
    <w:rsid w:val="00C900D6"/>
    <w:rsid w:val="00C91876"/>
    <w:rsid w:val="00C93B27"/>
    <w:rsid w:val="00CA02CE"/>
    <w:rsid w:val="00CA5A98"/>
    <w:rsid w:val="00CB0979"/>
    <w:rsid w:val="00CB7ED2"/>
    <w:rsid w:val="00CC46DD"/>
    <w:rsid w:val="00CC52EA"/>
    <w:rsid w:val="00CC6186"/>
    <w:rsid w:val="00CD0A5B"/>
    <w:rsid w:val="00CD34CB"/>
    <w:rsid w:val="00CE0355"/>
    <w:rsid w:val="00CE221A"/>
    <w:rsid w:val="00CF4A7B"/>
    <w:rsid w:val="00CF7348"/>
    <w:rsid w:val="00D02D12"/>
    <w:rsid w:val="00D0329A"/>
    <w:rsid w:val="00D04F0D"/>
    <w:rsid w:val="00D105CF"/>
    <w:rsid w:val="00D14F79"/>
    <w:rsid w:val="00D21579"/>
    <w:rsid w:val="00D22DE7"/>
    <w:rsid w:val="00D2689E"/>
    <w:rsid w:val="00D278E5"/>
    <w:rsid w:val="00D30F21"/>
    <w:rsid w:val="00D316C8"/>
    <w:rsid w:val="00D45A2B"/>
    <w:rsid w:val="00D46143"/>
    <w:rsid w:val="00D5651A"/>
    <w:rsid w:val="00D64EA4"/>
    <w:rsid w:val="00D6568D"/>
    <w:rsid w:val="00D66FE2"/>
    <w:rsid w:val="00D6780D"/>
    <w:rsid w:val="00D71EFD"/>
    <w:rsid w:val="00D72F68"/>
    <w:rsid w:val="00D7396A"/>
    <w:rsid w:val="00D77842"/>
    <w:rsid w:val="00D87B13"/>
    <w:rsid w:val="00D91950"/>
    <w:rsid w:val="00D9260D"/>
    <w:rsid w:val="00D92A5B"/>
    <w:rsid w:val="00D9599C"/>
    <w:rsid w:val="00DB3BA5"/>
    <w:rsid w:val="00DC3FB6"/>
    <w:rsid w:val="00DC4DC2"/>
    <w:rsid w:val="00DC67F2"/>
    <w:rsid w:val="00DC695F"/>
    <w:rsid w:val="00DD0E37"/>
    <w:rsid w:val="00DD11E3"/>
    <w:rsid w:val="00DD58D9"/>
    <w:rsid w:val="00DD7A24"/>
    <w:rsid w:val="00DE273F"/>
    <w:rsid w:val="00E00253"/>
    <w:rsid w:val="00E00F8F"/>
    <w:rsid w:val="00E04216"/>
    <w:rsid w:val="00E130B7"/>
    <w:rsid w:val="00E15576"/>
    <w:rsid w:val="00E176C1"/>
    <w:rsid w:val="00E17E04"/>
    <w:rsid w:val="00E25BE5"/>
    <w:rsid w:val="00E309B5"/>
    <w:rsid w:val="00E334F2"/>
    <w:rsid w:val="00E40163"/>
    <w:rsid w:val="00E44B74"/>
    <w:rsid w:val="00E62AC7"/>
    <w:rsid w:val="00E646CB"/>
    <w:rsid w:val="00E7034B"/>
    <w:rsid w:val="00E74C77"/>
    <w:rsid w:val="00E770CD"/>
    <w:rsid w:val="00E83191"/>
    <w:rsid w:val="00E83651"/>
    <w:rsid w:val="00E924AC"/>
    <w:rsid w:val="00EA128F"/>
    <w:rsid w:val="00EB699A"/>
    <w:rsid w:val="00EB7F5E"/>
    <w:rsid w:val="00EC2A1F"/>
    <w:rsid w:val="00EC3EE5"/>
    <w:rsid w:val="00EC4AD8"/>
    <w:rsid w:val="00EE342C"/>
    <w:rsid w:val="00EE4957"/>
    <w:rsid w:val="00EE7532"/>
    <w:rsid w:val="00F02D50"/>
    <w:rsid w:val="00F06ADD"/>
    <w:rsid w:val="00F074C7"/>
    <w:rsid w:val="00F17CA7"/>
    <w:rsid w:val="00F21336"/>
    <w:rsid w:val="00F21B92"/>
    <w:rsid w:val="00F21D26"/>
    <w:rsid w:val="00F22A98"/>
    <w:rsid w:val="00F2496A"/>
    <w:rsid w:val="00F300DB"/>
    <w:rsid w:val="00F32E52"/>
    <w:rsid w:val="00F410B0"/>
    <w:rsid w:val="00F41585"/>
    <w:rsid w:val="00F44238"/>
    <w:rsid w:val="00F449EB"/>
    <w:rsid w:val="00F5302E"/>
    <w:rsid w:val="00F542E3"/>
    <w:rsid w:val="00F54F3F"/>
    <w:rsid w:val="00F6701A"/>
    <w:rsid w:val="00F70D4D"/>
    <w:rsid w:val="00F759ED"/>
    <w:rsid w:val="00F76A3A"/>
    <w:rsid w:val="00F77166"/>
    <w:rsid w:val="00F77D85"/>
    <w:rsid w:val="00F826AF"/>
    <w:rsid w:val="00F923AB"/>
    <w:rsid w:val="00F959A8"/>
    <w:rsid w:val="00F96CB3"/>
    <w:rsid w:val="00FA27C6"/>
    <w:rsid w:val="00FA3C67"/>
    <w:rsid w:val="00FA5D4D"/>
    <w:rsid w:val="00FA7FA4"/>
    <w:rsid w:val="00FB1D85"/>
    <w:rsid w:val="00FB44A9"/>
    <w:rsid w:val="00FB4D58"/>
    <w:rsid w:val="00FB5CD9"/>
    <w:rsid w:val="00FB6A54"/>
    <w:rsid w:val="00FC217C"/>
    <w:rsid w:val="00FD568A"/>
    <w:rsid w:val="00FE2C3E"/>
    <w:rsid w:val="00FE3EA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27CEB3-07E0-43D2-B23C-1A1EB2DA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A33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06B50-4A2C-4107-9391-12F16C70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0</TotalTime>
  <Pages>4</Pages>
  <Words>978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Conta da Microsoft</cp:lastModifiedBy>
  <cp:revision>2</cp:revision>
  <cp:lastPrinted>2020-12-10T17:53:00Z</cp:lastPrinted>
  <dcterms:created xsi:type="dcterms:W3CDTF">2021-11-25T16:10:00Z</dcterms:created>
  <dcterms:modified xsi:type="dcterms:W3CDTF">2021-11-25T16:10:00Z</dcterms:modified>
</cp:coreProperties>
</file>